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4B" w:rsidRDefault="00E54FC0" w:rsidP="00596207">
      <w:pPr>
        <w:pStyle w:val="Gvdemetni20"/>
        <w:shd w:val="clear" w:color="auto" w:fill="auto"/>
        <w:tabs>
          <w:tab w:val="left" w:pos="993"/>
        </w:tabs>
        <w:spacing w:before="120" w:after="120" w:line="240" w:lineRule="auto"/>
        <w:ind w:right="66" w:firstLine="709"/>
        <w:rPr>
          <w:rFonts w:ascii="Times New Roman" w:hAnsi="Times New Roman" w:cs="Times New Roman"/>
          <w:b/>
          <w:sz w:val="24"/>
          <w:szCs w:val="24"/>
        </w:rPr>
      </w:pPr>
      <w:r>
        <w:rPr>
          <w:rFonts w:ascii="Times New Roman" w:hAnsi="Times New Roman" w:cs="Times New Roman"/>
          <w:b/>
          <w:sz w:val="24"/>
          <w:szCs w:val="24"/>
        </w:rPr>
        <w:t xml:space="preserve">T.C.PİRİ REİS ÜNİVERSİTESİ </w:t>
      </w:r>
    </w:p>
    <w:p w:rsidR="00143A4B" w:rsidRDefault="00E54FC0" w:rsidP="00596207">
      <w:pPr>
        <w:pStyle w:val="Gvdemetni20"/>
        <w:shd w:val="clear" w:color="auto" w:fill="auto"/>
        <w:tabs>
          <w:tab w:val="left" w:pos="993"/>
        </w:tabs>
        <w:spacing w:before="120" w:after="120" w:line="240" w:lineRule="auto"/>
        <w:ind w:right="-1" w:firstLine="709"/>
        <w:rPr>
          <w:rFonts w:ascii="Times New Roman" w:hAnsi="Times New Roman" w:cs="Times New Roman"/>
          <w:b/>
          <w:sz w:val="24"/>
          <w:szCs w:val="24"/>
        </w:rPr>
      </w:pPr>
      <w:r>
        <w:rPr>
          <w:rFonts w:ascii="Times New Roman" w:hAnsi="Times New Roman" w:cs="Times New Roman"/>
          <w:b/>
          <w:sz w:val="24"/>
          <w:szCs w:val="24"/>
        </w:rPr>
        <w:t>GÜVENLİK GİRİŞİ YAPIM İHALESİ</w:t>
      </w:r>
    </w:p>
    <w:p w:rsidR="00143A4B" w:rsidRDefault="00E54FC0" w:rsidP="00596207">
      <w:pPr>
        <w:pStyle w:val="Gvdemetni20"/>
        <w:shd w:val="clear" w:color="auto" w:fill="auto"/>
        <w:tabs>
          <w:tab w:val="left" w:pos="993"/>
        </w:tabs>
        <w:spacing w:before="120" w:after="120" w:line="240" w:lineRule="auto"/>
        <w:ind w:right="66" w:firstLine="709"/>
        <w:rPr>
          <w:rFonts w:ascii="Times New Roman" w:hAnsi="Times New Roman" w:cs="Times New Roman"/>
          <w:b/>
          <w:sz w:val="24"/>
          <w:szCs w:val="24"/>
        </w:rPr>
      </w:pPr>
      <w:r>
        <w:rPr>
          <w:rFonts w:ascii="Times New Roman" w:hAnsi="Times New Roman" w:cs="Times New Roman"/>
          <w:b/>
          <w:sz w:val="24"/>
          <w:szCs w:val="24"/>
        </w:rPr>
        <w:t>İDARİ ŞARTNAMESİ</w:t>
      </w:r>
    </w:p>
    <w:tbl>
      <w:tblPr>
        <w:tblStyle w:val="TabloKlavuzu"/>
        <w:tblW w:w="9677" w:type="dxa"/>
        <w:tblLook w:val="04A0" w:firstRow="1" w:lastRow="0" w:firstColumn="1" w:lastColumn="0" w:noHBand="0" w:noVBand="1"/>
      </w:tblPr>
      <w:tblGrid>
        <w:gridCol w:w="9677"/>
      </w:tblGrid>
      <w:tr w:rsidR="00143A4B">
        <w:trPr>
          <w:trHeight w:val="496"/>
        </w:trPr>
        <w:tc>
          <w:tcPr>
            <w:tcW w:w="9677" w:type="dxa"/>
          </w:tcPr>
          <w:p w:rsidR="00143A4B" w:rsidRDefault="00596207">
            <w:pPr>
              <w:pStyle w:val="Gvdemetni20"/>
              <w:shd w:val="clear" w:color="auto" w:fill="auto"/>
              <w:tabs>
                <w:tab w:val="left" w:pos="993"/>
              </w:tabs>
              <w:spacing w:before="120" w:after="120" w:line="360" w:lineRule="auto"/>
              <w:jc w:val="left"/>
              <w:rPr>
                <w:rFonts w:ascii="Times New Roman" w:hAnsi="Times New Roman" w:cs="Times New Roman"/>
                <w:bCs/>
                <w:sz w:val="24"/>
                <w:szCs w:val="24"/>
              </w:rPr>
            </w:pPr>
            <w:r>
              <w:rPr>
                <w:rFonts w:ascii="Times New Roman" w:hAnsi="Times New Roman" w:cs="Times New Roman"/>
                <w:b/>
                <w:sz w:val="24"/>
                <w:szCs w:val="24"/>
              </w:rPr>
              <w:t xml:space="preserve">İhale Tarih ve </w:t>
            </w:r>
            <w:r w:rsidR="00E54FC0">
              <w:rPr>
                <w:rFonts w:ascii="Times New Roman" w:hAnsi="Times New Roman" w:cs="Times New Roman"/>
                <w:b/>
                <w:sz w:val="24"/>
                <w:szCs w:val="24"/>
              </w:rPr>
              <w:t>Saati: 07.08.2024-14:00</w:t>
            </w:r>
          </w:p>
          <w:p w:rsidR="00143A4B" w:rsidRDefault="00E54FC0">
            <w:pPr>
              <w:pStyle w:val="Gvdemetni20"/>
              <w:shd w:val="clear" w:color="auto" w:fill="auto"/>
              <w:tabs>
                <w:tab w:val="left" w:pos="993"/>
              </w:tabs>
              <w:spacing w:before="120" w:after="120" w:line="360" w:lineRule="auto"/>
              <w:jc w:val="left"/>
              <w:rPr>
                <w:rFonts w:ascii="Times New Roman" w:hAnsi="Times New Roman" w:cs="Times New Roman"/>
                <w:bCs/>
                <w:sz w:val="24"/>
                <w:szCs w:val="24"/>
              </w:rPr>
            </w:pPr>
            <w:r>
              <w:rPr>
                <w:rFonts w:ascii="Times New Roman" w:hAnsi="Times New Roman" w:cs="Times New Roman"/>
                <w:b/>
                <w:bCs/>
                <w:sz w:val="24"/>
                <w:szCs w:val="24"/>
              </w:rPr>
              <w:t>İhale Yeri:</w:t>
            </w:r>
            <w:r>
              <w:rPr>
                <w:rFonts w:ascii="Times New Roman" w:hAnsi="Times New Roman" w:cs="Times New Roman"/>
                <w:bCs/>
                <w:sz w:val="24"/>
                <w:szCs w:val="24"/>
              </w:rPr>
              <w:t xml:space="preserve"> TC Piri Reis Üniversitesi, Postane Mah. Eflatun </w:t>
            </w:r>
            <w:proofErr w:type="spellStart"/>
            <w:r>
              <w:rPr>
                <w:rFonts w:ascii="Times New Roman" w:hAnsi="Times New Roman" w:cs="Times New Roman"/>
                <w:bCs/>
                <w:sz w:val="24"/>
                <w:szCs w:val="24"/>
              </w:rPr>
              <w:t>Sk</w:t>
            </w:r>
            <w:proofErr w:type="spellEnd"/>
            <w:r>
              <w:rPr>
                <w:rFonts w:ascii="Times New Roman" w:hAnsi="Times New Roman" w:cs="Times New Roman"/>
                <w:bCs/>
                <w:sz w:val="24"/>
                <w:szCs w:val="24"/>
              </w:rPr>
              <w:t>. No:8 Tuzla adresindeki Deniz Kampüsünde yapılacaktır</w:t>
            </w:r>
          </w:p>
        </w:tc>
      </w:tr>
      <w:tr w:rsidR="00143A4B">
        <w:trPr>
          <w:trHeight w:val="1325"/>
        </w:trPr>
        <w:tc>
          <w:tcPr>
            <w:tcW w:w="9677" w:type="dxa"/>
          </w:tcPr>
          <w:p w:rsidR="00143A4B" w:rsidRDefault="00E54FC0">
            <w:pPr>
              <w:pStyle w:val="Gvdemetni20"/>
              <w:shd w:val="clear" w:color="auto" w:fill="auto"/>
              <w:tabs>
                <w:tab w:val="left" w:pos="993"/>
              </w:tabs>
              <w:spacing w:before="120" w:after="120" w:line="360" w:lineRule="auto"/>
              <w:jc w:val="left"/>
              <w:rPr>
                <w:color w:val="000000" w:themeColor="text1"/>
                <w:sz w:val="24"/>
                <w:szCs w:val="24"/>
              </w:rPr>
            </w:pPr>
            <w:r>
              <w:rPr>
                <w:rFonts w:ascii="Times New Roman" w:hAnsi="Times New Roman" w:cs="Times New Roman"/>
                <w:b/>
                <w:color w:val="000000" w:themeColor="text1"/>
                <w:sz w:val="24"/>
                <w:szCs w:val="24"/>
              </w:rPr>
              <w:t>İşin Yapılacağı Yerin Keşif Planı Ve İdari –Teknik Şartnamenin Temin</w:t>
            </w:r>
            <w:r>
              <w:rPr>
                <w:rFonts w:ascii="Times New Roman" w:hAnsi="Times New Roman" w:cs="Times New Roman"/>
                <w:b/>
                <w:sz w:val="24"/>
                <w:szCs w:val="24"/>
              </w:rPr>
              <w:t>i:</w:t>
            </w:r>
            <w:r>
              <w:rPr>
                <w:color w:val="000000" w:themeColor="text1"/>
                <w:sz w:val="24"/>
                <w:szCs w:val="24"/>
              </w:rPr>
              <w:t xml:space="preserve"> </w:t>
            </w:r>
          </w:p>
          <w:p w:rsidR="00143A4B" w:rsidRDefault="00E54FC0">
            <w:pPr>
              <w:pStyle w:val="Gvdemetni20"/>
              <w:shd w:val="clear" w:color="auto" w:fill="auto"/>
              <w:tabs>
                <w:tab w:val="left" w:pos="993"/>
              </w:tabs>
              <w:spacing w:before="120" w:after="120" w:line="360" w:lineRule="auto"/>
              <w:jc w:val="left"/>
              <w:rPr>
                <w:rFonts w:ascii="Times New Roman" w:hAnsi="Times New Roman" w:cs="Times New Roman"/>
                <w:b/>
                <w:sz w:val="24"/>
                <w:szCs w:val="24"/>
              </w:rPr>
            </w:pPr>
            <w:proofErr w:type="spellStart"/>
            <w:r>
              <w:rPr>
                <w:rFonts w:ascii="Times New Roman" w:hAnsi="Times New Roman" w:cs="Times New Roman"/>
                <w:color w:val="000000" w:themeColor="text1"/>
                <w:sz w:val="24"/>
                <w:szCs w:val="24"/>
              </w:rPr>
              <w:t>Satınalma</w:t>
            </w:r>
            <w:proofErr w:type="spellEnd"/>
            <w:r>
              <w:rPr>
                <w:rFonts w:ascii="Times New Roman" w:hAnsi="Times New Roman" w:cs="Times New Roman"/>
                <w:color w:val="000000" w:themeColor="text1"/>
                <w:sz w:val="24"/>
                <w:szCs w:val="24"/>
              </w:rPr>
              <w:t xml:space="preserve"> Müdürlüğü ile irtibat sağlanarak </w:t>
            </w:r>
            <w:r>
              <w:rPr>
                <w:rFonts w:ascii="Times New Roman" w:hAnsi="Times New Roman" w:cs="Times New Roman"/>
                <w:sz w:val="24"/>
                <w:szCs w:val="24"/>
              </w:rPr>
              <w:t>İhale İlan Tarihi ile İhale Tarihi</w:t>
            </w:r>
            <w:r>
              <w:rPr>
                <w:rFonts w:ascii="Times New Roman" w:hAnsi="Times New Roman" w:cs="Times New Roman"/>
                <w:color w:val="000000" w:themeColor="text1"/>
                <w:sz w:val="24"/>
                <w:szCs w:val="24"/>
              </w:rPr>
              <w:t xml:space="preserve"> arasında randevu oluşturularak gerçekleştirilecektir</w:t>
            </w:r>
          </w:p>
        </w:tc>
      </w:tr>
      <w:tr w:rsidR="00143A4B">
        <w:trPr>
          <w:trHeight w:val="466"/>
        </w:trPr>
        <w:tc>
          <w:tcPr>
            <w:tcW w:w="9677" w:type="dxa"/>
          </w:tcPr>
          <w:p w:rsidR="00143A4B" w:rsidRDefault="00E54FC0">
            <w:pPr>
              <w:tabs>
                <w:tab w:val="left" w:pos="993"/>
              </w:tabs>
              <w:spacing w:before="120" w:after="120" w:line="240" w:lineRule="auto"/>
              <w:jc w:val="both"/>
              <w:rPr>
                <w:rFonts w:ascii="Times New Roman" w:hAnsi="Times New Roman" w:cs="Times New Roman"/>
                <w:bCs/>
                <w:sz w:val="24"/>
                <w:szCs w:val="24"/>
              </w:rPr>
            </w:pPr>
            <w:r>
              <w:rPr>
                <w:rFonts w:ascii="Times New Roman" w:hAnsi="Times New Roman" w:cs="Times New Roman"/>
                <w:b/>
                <w:bCs/>
                <w:sz w:val="24"/>
                <w:szCs w:val="24"/>
              </w:rPr>
              <w:t>İhale Usulü</w:t>
            </w:r>
            <w:r w:rsidR="009A35F0">
              <w:rPr>
                <w:rFonts w:ascii="Times New Roman" w:hAnsi="Times New Roman" w:cs="Times New Roman"/>
                <w:bCs/>
                <w:sz w:val="24"/>
                <w:szCs w:val="24"/>
              </w:rPr>
              <w:t xml:space="preserve">: Açık İhale </w:t>
            </w:r>
            <w:bookmarkStart w:id="0" w:name="_GoBack"/>
            <w:bookmarkEnd w:id="0"/>
          </w:p>
          <w:p w:rsidR="00143A4B" w:rsidRDefault="00143A4B">
            <w:pPr>
              <w:tabs>
                <w:tab w:val="left" w:pos="993"/>
              </w:tabs>
              <w:spacing w:before="120" w:after="120" w:line="240" w:lineRule="auto"/>
              <w:jc w:val="both"/>
              <w:rPr>
                <w:rFonts w:ascii="Times New Roman" w:hAnsi="Times New Roman" w:cs="Times New Roman"/>
                <w:b/>
                <w:sz w:val="24"/>
                <w:szCs w:val="24"/>
              </w:rPr>
            </w:pPr>
          </w:p>
        </w:tc>
      </w:tr>
    </w:tbl>
    <w:p w:rsidR="00143A4B" w:rsidRDefault="00E54FC0">
      <w:pPr>
        <w:numPr>
          <w:ilvl w:val="0"/>
          <w:numId w:val="1"/>
        </w:numPr>
        <w:tabs>
          <w:tab w:val="left" w:pos="993"/>
        </w:tabs>
        <w:spacing w:before="120" w:after="12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AMAÇ VE KAPSAM: </w:t>
      </w:r>
    </w:p>
    <w:p w:rsidR="00143A4B" w:rsidRDefault="00E54FC0">
      <w:pPr>
        <w:pStyle w:val="GvdeMetniGirintisi"/>
        <w:tabs>
          <w:tab w:val="left" w:pos="993"/>
        </w:tabs>
        <w:spacing w:before="120" w:after="120"/>
        <w:jc w:val="both"/>
        <w:rPr>
          <w:bCs/>
          <w:sz w:val="24"/>
          <w:szCs w:val="24"/>
        </w:rPr>
      </w:pPr>
      <w:r>
        <w:rPr>
          <w:bCs/>
          <w:sz w:val="24"/>
          <w:szCs w:val="24"/>
        </w:rPr>
        <w:t>Bu İdari Şartname ve ekleri, Postane Mah. Manastır Yolu Eflatun Sok. No:8 Tuzla/İstanbul adresine mukim Piri Reis Üniversitesi Deniz Kampüsünde yapılacak olan ihale ile ilgili detayları kapsamaktadır.</w:t>
      </w:r>
    </w:p>
    <w:p w:rsidR="00143A4B" w:rsidRDefault="00E54FC0">
      <w:pPr>
        <w:numPr>
          <w:ilvl w:val="0"/>
          <w:numId w:val="1"/>
        </w:numPr>
        <w:tabs>
          <w:tab w:val="left" w:pos="993"/>
        </w:tabs>
        <w:spacing w:before="120"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TANIMLAR ve KISALTMALAR:</w:t>
      </w:r>
      <w:r>
        <w:rPr>
          <w:rFonts w:ascii="Times New Roman" w:hAnsi="Times New Roman" w:cs="Times New Roman"/>
          <w:sz w:val="24"/>
          <w:szCs w:val="24"/>
        </w:rPr>
        <w:t xml:space="preserve"> </w:t>
      </w:r>
    </w:p>
    <w:p w:rsidR="00143A4B" w:rsidRDefault="00E54FC0">
      <w:pPr>
        <w:tabs>
          <w:tab w:val="left" w:pos="993"/>
        </w:tabs>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İşbu İdari Şartname ve eklerinde;</w:t>
      </w:r>
    </w:p>
    <w:p w:rsidR="00143A4B" w:rsidRDefault="00E54FC0">
      <w:pPr>
        <w:pStyle w:val="GvdeMetniGirintisi"/>
        <w:tabs>
          <w:tab w:val="left" w:pos="993"/>
        </w:tabs>
        <w:spacing w:before="120" w:after="120"/>
        <w:ind w:left="709"/>
        <w:jc w:val="both"/>
        <w:rPr>
          <w:sz w:val="24"/>
          <w:szCs w:val="24"/>
        </w:rPr>
      </w:pPr>
      <w:r>
        <w:rPr>
          <w:b/>
          <w:sz w:val="24"/>
          <w:szCs w:val="24"/>
        </w:rPr>
        <w:t xml:space="preserve">İş: </w:t>
      </w:r>
      <w:r>
        <w:rPr>
          <w:sz w:val="24"/>
          <w:szCs w:val="24"/>
        </w:rPr>
        <w:t>Yüklenici’ ye ihale edilen mal ve hizmetleri,</w:t>
      </w:r>
    </w:p>
    <w:p w:rsidR="00143A4B" w:rsidRDefault="00E54FC0">
      <w:pPr>
        <w:pStyle w:val="GvdeMetniGirintisi"/>
        <w:tabs>
          <w:tab w:val="left" w:pos="993"/>
        </w:tabs>
        <w:spacing w:before="120" w:after="120"/>
        <w:ind w:left="0"/>
        <w:jc w:val="both"/>
        <w:rPr>
          <w:sz w:val="24"/>
          <w:szCs w:val="24"/>
        </w:rPr>
      </w:pPr>
      <w:r>
        <w:rPr>
          <w:rFonts w:eastAsiaTheme="minorEastAsia"/>
          <w:sz w:val="24"/>
          <w:szCs w:val="24"/>
          <w:lang w:eastAsia="zh-TW"/>
        </w:rPr>
        <w:t xml:space="preserve">           </w:t>
      </w:r>
      <w:r>
        <w:rPr>
          <w:b/>
          <w:sz w:val="24"/>
          <w:szCs w:val="24"/>
        </w:rPr>
        <w:t xml:space="preserve">Üniversite: </w:t>
      </w:r>
      <w:r>
        <w:rPr>
          <w:sz w:val="24"/>
          <w:szCs w:val="24"/>
        </w:rPr>
        <w:t xml:space="preserve">T.C. Piri Reis Üniversitesini, </w:t>
      </w:r>
    </w:p>
    <w:p w:rsidR="00143A4B" w:rsidRDefault="00E54FC0">
      <w:pPr>
        <w:pStyle w:val="GvdeMetniGirintisi"/>
        <w:tabs>
          <w:tab w:val="left" w:pos="993"/>
        </w:tabs>
        <w:spacing w:before="120" w:after="120"/>
        <w:ind w:left="709"/>
        <w:jc w:val="both"/>
        <w:rPr>
          <w:sz w:val="24"/>
          <w:szCs w:val="24"/>
        </w:rPr>
      </w:pPr>
      <w:r>
        <w:rPr>
          <w:b/>
          <w:sz w:val="24"/>
          <w:szCs w:val="24"/>
        </w:rPr>
        <w:t xml:space="preserve">İstekli: </w:t>
      </w:r>
      <w:r>
        <w:rPr>
          <w:sz w:val="24"/>
          <w:szCs w:val="24"/>
        </w:rPr>
        <w:t>İdari şartname kapsamında tanımlanan işi gerçekleştirmek üzere ihaleye katılacak olan aday firma/şahıs/kuruluşu,</w:t>
      </w:r>
    </w:p>
    <w:p w:rsidR="00143A4B" w:rsidRDefault="00E54FC0">
      <w:pPr>
        <w:pStyle w:val="GvdeMetniGirintisi"/>
        <w:tabs>
          <w:tab w:val="left" w:pos="993"/>
        </w:tabs>
        <w:spacing w:before="120" w:after="120"/>
        <w:ind w:left="709"/>
        <w:jc w:val="both"/>
        <w:rPr>
          <w:sz w:val="24"/>
          <w:szCs w:val="24"/>
        </w:rPr>
      </w:pPr>
      <w:r>
        <w:rPr>
          <w:b/>
          <w:sz w:val="24"/>
          <w:szCs w:val="24"/>
        </w:rPr>
        <w:t>Yüklenici</w:t>
      </w:r>
      <w:r>
        <w:rPr>
          <w:sz w:val="24"/>
          <w:szCs w:val="24"/>
        </w:rPr>
        <w:t>: İdari şartname kapsamında tanımlanan işi gerçekleştirmek üzere sözleşme imzalanacak olan firma/şahıs/kuruluşu,</w:t>
      </w:r>
    </w:p>
    <w:p w:rsidR="00143A4B" w:rsidRDefault="00E54FC0">
      <w:pPr>
        <w:pStyle w:val="GvdeMetniGirintisi"/>
        <w:tabs>
          <w:tab w:val="left" w:pos="993"/>
        </w:tabs>
        <w:spacing w:before="120" w:after="120"/>
        <w:ind w:left="709"/>
        <w:jc w:val="both"/>
        <w:rPr>
          <w:sz w:val="24"/>
          <w:szCs w:val="24"/>
        </w:rPr>
      </w:pPr>
      <w:r>
        <w:rPr>
          <w:b/>
          <w:sz w:val="24"/>
          <w:szCs w:val="24"/>
        </w:rPr>
        <w:t>Servis Araçları</w:t>
      </w:r>
      <w:r>
        <w:rPr>
          <w:sz w:val="24"/>
          <w:szCs w:val="24"/>
        </w:rPr>
        <w:t xml:space="preserve"> İşi yerine getirme aşamasında ihtiyaç duyulan </w:t>
      </w:r>
      <w:proofErr w:type="gramStart"/>
      <w:r>
        <w:rPr>
          <w:sz w:val="24"/>
          <w:szCs w:val="24"/>
        </w:rPr>
        <w:t>ekipman</w:t>
      </w:r>
      <w:proofErr w:type="gramEnd"/>
      <w:r>
        <w:rPr>
          <w:sz w:val="24"/>
          <w:szCs w:val="24"/>
        </w:rPr>
        <w:t>, araç gibi işin gerçekleşmesi için gerekli olanları belirtmektedir.</w:t>
      </w:r>
    </w:p>
    <w:p w:rsidR="00143A4B" w:rsidRDefault="00E54FC0">
      <w:pPr>
        <w:tabs>
          <w:tab w:val="left" w:pos="993"/>
        </w:tabs>
        <w:spacing w:before="120" w:after="120"/>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Adresi (Deniz Kampüsü)</w:t>
      </w:r>
      <w:r>
        <w:rPr>
          <w:rFonts w:ascii="Times New Roman" w:hAnsi="Times New Roman" w:cs="Times New Roman"/>
          <w:color w:val="000000"/>
          <w:sz w:val="24"/>
          <w:szCs w:val="24"/>
        </w:rPr>
        <w:t xml:space="preserve">: Postane Mah. Eflatun </w:t>
      </w:r>
      <w:proofErr w:type="spellStart"/>
      <w:r>
        <w:rPr>
          <w:rFonts w:ascii="Times New Roman" w:hAnsi="Times New Roman" w:cs="Times New Roman"/>
          <w:color w:val="000000"/>
          <w:sz w:val="24"/>
          <w:szCs w:val="24"/>
        </w:rPr>
        <w:t>Sk</w:t>
      </w:r>
      <w:proofErr w:type="spellEnd"/>
      <w:r>
        <w:rPr>
          <w:rFonts w:ascii="Times New Roman" w:hAnsi="Times New Roman" w:cs="Times New Roman"/>
          <w:color w:val="000000"/>
          <w:sz w:val="24"/>
          <w:szCs w:val="24"/>
        </w:rPr>
        <w:t>. No: 8 Tuzla İstanbul,</w:t>
      </w:r>
    </w:p>
    <w:p w:rsidR="00143A4B" w:rsidRDefault="00E54FC0">
      <w:pPr>
        <w:tabs>
          <w:tab w:val="left" w:pos="993"/>
        </w:tabs>
        <w:spacing w:before="120" w:after="120"/>
        <w:ind w:firstLine="709"/>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Telefon</w:t>
      </w:r>
      <w:r>
        <w:rPr>
          <w:rFonts w:ascii="Times New Roman" w:hAnsi="Times New Roman" w:cs="Times New Roman"/>
          <w:color w:val="000000"/>
          <w:sz w:val="24"/>
          <w:szCs w:val="24"/>
        </w:rPr>
        <w:t xml:space="preserve">                              : 0</w:t>
      </w:r>
      <w:proofErr w:type="gramEnd"/>
      <w:r>
        <w:rPr>
          <w:rFonts w:ascii="Times New Roman" w:hAnsi="Times New Roman" w:cs="Times New Roman"/>
          <w:color w:val="000000"/>
          <w:sz w:val="24"/>
          <w:szCs w:val="24"/>
        </w:rPr>
        <w:t xml:space="preserve"> 216 581 00 50     Faks: 0 216 581 00 51</w:t>
      </w:r>
    </w:p>
    <w:p w:rsidR="00143A4B" w:rsidRDefault="00E54FC0">
      <w:pPr>
        <w:tabs>
          <w:tab w:val="left" w:pos="993"/>
        </w:tabs>
        <w:spacing w:before="120" w:after="120"/>
        <w:ind w:firstLine="709"/>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e</w:t>
      </w:r>
      <w:proofErr w:type="gramEnd"/>
      <w:r>
        <w:rPr>
          <w:rFonts w:ascii="Times New Roman" w:hAnsi="Times New Roman" w:cs="Times New Roman"/>
          <w:b/>
          <w:color w:val="000000"/>
          <w:sz w:val="24"/>
          <w:szCs w:val="24"/>
        </w:rPr>
        <w:t>-posta:</w:t>
      </w:r>
      <w:r>
        <w:rPr>
          <w:rFonts w:ascii="Times New Roman" w:hAnsi="Times New Roman" w:cs="Times New Roman"/>
          <w:color w:val="000000"/>
          <w:sz w:val="24"/>
          <w:szCs w:val="24"/>
        </w:rPr>
        <w:t xml:space="preserve">                              :</w:t>
      </w:r>
      <w:hyperlink r:id="rId8" w:history="1">
        <w:r>
          <w:rPr>
            <w:rStyle w:val="Kpr"/>
            <w:rFonts w:ascii="Times New Roman" w:hAnsi="Times New Roman" w:cs="Times New Roman"/>
            <w:sz w:val="24"/>
            <w:szCs w:val="24"/>
          </w:rPr>
          <w:t>satınalma@pirireis.edu.tr</w:t>
        </w:r>
      </w:hyperlink>
      <w:r>
        <w:rPr>
          <w:rFonts w:ascii="Times New Roman" w:hAnsi="Times New Roman" w:cs="Times New Roman"/>
          <w:color w:val="000000"/>
          <w:sz w:val="24"/>
          <w:szCs w:val="24"/>
        </w:rPr>
        <w:t xml:space="preserve"> </w:t>
      </w:r>
    </w:p>
    <w:p w:rsidR="00143A4B" w:rsidRDefault="00143A4B">
      <w:pPr>
        <w:tabs>
          <w:tab w:val="left" w:pos="993"/>
        </w:tabs>
        <w:spacing w:before="120" w:after="120"/>
        <w:ind w:firstLine="709"/>
        <w:jc w:val="both"/>
        <w:rPr>
          <w:rFonts w:ascii="Times New Roman" w:hAnsi="Times New Roman" w:cs="Times New Roman"/>
          <w:color w:val="000000"/>
          <w:sz w:val="24"/>
          <w:szCs w:val="24"/>
        </w:rPr>
      </w:pPr>
    </w:p>
    <w:p w:rsidR="00143A4B" w:rsidRDefault="00E54FC0">
      <w:pPr>
        <w:numPr>
          <w:ilvl w:val="0"/>
          <w:numId w:val="1"/>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TEKLİF VERME ESASLARI</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3.1.</w:t>
      </w:r>
      <w:r>
        <w:rPr>
          <w:rFonts w:ascii="Times New Roman" w:hAnsi="Times New Roman" w:cs="Times New Roman"/>
          <w:color w:val="000000"/>
          <w:sz w:val="24"/>
          <w:szCs w:val="24"/>
        </w:rPr>
        <w:t xml:space="preserve">İhale duyurusu Üniversite web sitesinden, ilan.gov.tr üzerinden ve davet mektubu usulüyle yapılacaktır. İstekli, İdari ve Teknik Şartnameyi Üniversitenin </w:t>
      </w:r>
      <w:proofErr w:type="spellStart"/>
      <w:r>
        <w:rPr>
          <w:rFonts w:ascii="Times New Roman" w:hAnsi="Times New Roman" w:cs="Times New Roman"/>
          <w:color w:val="000000"/>
          <w:sz w:val="24"/>
          <w:szCs w:val="24"/>
        </w:rPr>
        <w:t>Satınalma</w:t>
      </w:r>
      <w:proofErr w:type="spellEnd"/>
      <w:r>
        <w:rPr>
          <w:rFonts w:ascii="Times New Roman" w:hAnsi="Times New Roman" w:cs="Times New Roman"/>
          <w:color w:val="000000"/>
          <w:sz w:val="24"/>
          <w:szCs w:val="24"/>
        </w:rPr>
        <w:t xml:space="preserve"> Müdürlüğü birimine başvurarak imza karşılığı elden teslim alacaklardır. </w:t>
      </w:r>
    </w:p>
    <w:p w:rsidR="00143A4B" w:rsidRDefault="00E54FC0">
      <w:p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3.2.  Tekliflerin hazırlanması ve sunulması;</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3.2.1</w:t>
      </w:r>
      <w:proofErr w:type="gramStart"/>
      <w:r>
        <w:rPr>
          <w:rFonts w:ascii="Times New Roman" w:hAnsi="Times New Roman" w:cs="Times New Roman"/>
          <w:b/>
          <w:color w:val="000000"/>
          <w:sz w:val="24"/>
          <w:szCs w:val="24"/>
        </w:rPr>
        <w: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İşin yapılacağı yerin keşif planı ve İdari –Teknik Şartnamenin temini için İhale İlan Tarihi ile İhale Tarihi arasında </w:t>
      </w:r>
      <w:proofErr w:type="spellStart"/>
      <w:r>
        <w:rPr>
          <w:rFonts w:ascii="Times New Roman" w:hAnsi="Times New Roman" w:cs="Times New Roman"/>
          <w:color w:val="000000"/>
          <w:sz w:val="24"/>
          <w:szCs w:val="24"/>
        </w:rPr>
        <w:t>Satınalma</w:t>
      </w:r>
      <w:proofErr w:type="spellEnd"/>
      <w:r>
        <w:rPr>
          <w:rFonts w:ascii="Times New Roman" w:hAnsi="Times New Roman" w:cs="Times New Roman"/>
          <w:color w:val="000000"/>
          <w:sz w:val="24"/>
          <w:szCs w:val="24"/>
        </w:rPr>
        <w:t xml:space="preserve"> Müdürlüğü ile randevu oluşturarak irtibat sağlanmalıdır. </w:t>
      </w:r>
      <w:r>
        <w:rPr>
          <w:rFonts w:ascii="Times New Roman" w:hAnsi="Times New Roman" w:cs="Times New Roman"/>
          <w:b/>
          <w:color w:val="000000"/>
          <w:sz w:val="24"/>
          <w:szCs w:val="24"/>
        </w:rPr>
        <w:t>İdari Şartnamenin 3. 8. maddesinde yer alan belgeler (dış zarf) ve ihaleye ilişkin teklif metni (iç zarf) kapalı zarf içerisinde ihale günü İhale salonunda İhale Komisyonuna teslim</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edilmelidir. İhale günü teslim edilecek olan Fiyat Teklif Mektubu zarfının üzerine isteklinin adı, soyadı veya ticaret unvanı, tebligata esas açık adresi, teklifin hangi işe ait olduğu ve Üniversite adı ve açık adresi yazılır. Zarfın yapıştırılan yeri istekli</w:t>
      </w:r>
      <w:r>
        <w:rPr>
          <w:rFonts w:ascii="Times New Roman" w:hAnsi="Times New Roman" w:cs="Times New Roman"/>
          <w:color w:val="000000"/>
          <w:sz w:val="24"/>
          <w:szCs w:val="24"/>
        </w:rPr>
        <w:t xml:space="preserve"> tarafından imzalanır ve mühürlenir. Teklif Mektupları yazılı ve imzalı olarak sunulur. Teklif Mektubunda ihale/ön yeterlik dokümanının tamamen okunup kabul edildiğinin belirtilmesi, teklif edilen bedelin rakam ve yazı ile birbirine uygun olarak açıkça yazılması, üzerinde kazıntı, silinti, düzeltme bulunmaması ve teklif mektubunun ad, </w:t>
      </w:r>
      <w:proofErr w:type="spellStart"/>
      <w:r>
        <w:rPr>
          <w:rFonts w:ascii="Times New Roman" w:hAnsi="Times New Roman" w:cs="Times New Roman"/>
          <w:color w:val="000000"/>
          <w:sz w:val="24"/>
          <w:szCs w:val="24"/>
        </w:rPr>
        <w:t>soyad</w:t>
      </w:r>
      <w:proofErr w:type="spellEnd"/>
      <w:r>
        <w:rPr>
          <w:rFonts w:ascii="Times New Roman" w:hAnsi="Times New Roman" w:cs="Times New Roman"/>
          <w:color w:val="000000"/>
          <w:sz w:val="24"/>
          <w:szCs w:val="24"/>
        </w:rPr>
        <w:t xml:space="preserve"> veya ticaret unvanı yazılmak suretiyle yetkili kişilerce imzalanmış olması zorunludur.</w:t>
      </w:r>
    </w:p>
    <w:p w:rsidR="00143A4B" w:rsidRDefault="00E54FC0">
      <w:p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3.2.2. Teklifler ihale saatine kadar sıra numaralı alındılar karşılığında Üniversiteye verilir. Bu saatten sonra verilen teklifler kabul edilmez ve açılmaksızın iade edilir. Teklifler iadeli taahhütlü olarak da gönderilebilir. Posta ile gönderilecek tekliflerin, ihale/ön yeterlik dokümanında belirtilen ihale saatine kadar ulaştırılması şarttır. Postadaki gecikme nedeniyle işleme konulmayacak olan tekliflerin alınış zamanı bir tutanakla tespit edilir.</w:t>
      </w:r>
    </w:p>
    <w:p w:rsidR="00143A4B" w:rsidRDefault="00E54FC0">
      <w:p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3.2.3. Verilen teklifler, herhangi bir sebeple geri alınamaz ve değiştirilemez.</w:t>
      </w:r>
    </w:p>
    <w:p w:rsidR="00143A4B" w:rsidRDefault="00E54FC0">
      <w:p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3.2.4. Tekliflerin geçerlilik süresi ihale/ön yeterlik dokümanında belirtilir.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3.3</w:t>
      </w:r>
      <w:r>
        <w:rPr>
          <w:rFonts w:ascii="Times New Roman" w:hAnsi="Times New Roman" w:cs="Times New Roman"/>
          <w:color w:val="000000"/>
          <w:sz w:val="24"/>
          <w:szCs w:val="24"/>
        </w:rPr>
        <w:t xml:space="preserve">.İhale konusu Hizmet, Yüklenici tarafından ekli Teknik Şartnamede belirtilen esaslar doğrultusunda sağlanacaktır. </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 xml:space="preserve">.İstekliler bu İdari ve ekli Teknik Şartnamede yer alan tüm hususları içeren teklif vereceklerdir. </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3.5.</w:t>
      </w:r>
      <w:r>
        <w:rPr>
          <w:rFonts w:ascii="Times New Roman" w:hAnsi="Times New Roman" w:cs="Times New Roman"/>
          <w:color w:val="000000"/>
          <w:sz w:val="24"/>
          <w:szCs w:val="24"/>
        </w:rPr>
        <w:t xml:space="preserve">İhale dokümanında yer almayan ya da İdari şartname ve Teknik Şartnamelerde açıklanan hususların dışında farklı bir yoruma sebep olacak şekilde verilecek fiyat teklifleri değerlendirmeye alınmayarak ihale dışı bırakılacaktır.   </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3.6.</w:t>
      </w:r>
      <w:r>
        <w:rPr>
          <w:rFonts w:ascii="Times New Roman" w:hAnsi="Times New Roman" w:cs="Times New Roman"/>
          <w:color w:val="000000"/>
          <w:sz w:val="24"/>
          <w:szCs w:val="24"/>
        </w:rPr>
        <w:t>Tekliflere herhangi bir karşı şart konulmayacaktır. Aksi halde teklif sahibi ihale dışı bırakılacaktır.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3.7.Referans listesi</w:t>
      </w:r>
      <w:r>
        <w:rPr>
          <w:rFonts w:ascii="Times New Roman" w:hAnsi="Times New Roman" w:cs="Times New Roman"/>
          <w:color w:val="000000"/>
          <w:sz w:val="24"/>
          <w:szCs w:val="24"/>
        </w:rPr>
        <w:t xml:space="preserve"> aşağıda belirtildiği şekilde verilecektir.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İsteklinin yurt içinde veya yurt dışında kamu veya özel sektörde bedel içeren tek bir sözleşme kapsamında taahhüt edilen ihale konusu iş veya benzer ölçekli işlere ilişkin olarak; ilk ilan tarihinden geriye doğru son beş yıl içindeki, iş deneyimlerini gösteren belgeleri sunması gerekir.</w:t>
      </w:r>
    </w:p>
    <w:p w:rsidR="00596207" w:rsidRDefault="00596207">
      <w:pPr>
        <w:tabs>
          <w:tab w:val="left" w:pos="993"/>
        </w:tabs>
        <w:spacing w:before="120" w:after="120"/>
        <w:jc w:val="both"/>
        <w:rPr>
          <w:rFonts w:ascii="Times New Roman" w:hAnsi="Times New Roman" w:cs="Times New Roman"/>
          <w:bCs/>
          <w:color w:val="000000"/>
          <w:sz w:val="24"/>
          <w:szCs w:val="24"/>
        </w:rPr>
      </w:pPr>
    </w:p>
    <w:p w:rsidR="00143A4B" w:rsidRDefault="00E54FC0">
      <w:p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3.8.İstenen Belgeler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İsteklilerin ihaleye katılabilmeleri için aşağıda sayılan belgeleri teklifleri kapsamında sunmaları gerekmektedir.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3.8.1. </w:t>
      </w:r>
      <w:r>
        <w:rPr>
          <w:rFonts w:ascii="Times New Roman" w:hAnsi="Times New Roman" w:cs="Times New Roman"/>
          <w:bCs/>
          <w:color w:val="000000"/>
          <w:sz w:val="24"/>
          <w:szCs w:val="24"/>
        </w:rPr>
        <w:t>İsteklinin, İdari ve Teknik Şartnamelerin tüm madde ve hükümlerini eksiksiz ve tamamıyla okuyup kabul ettiğine delil olarak, her sayfası yeterli sayıda İstekli yetkililerince imza edilmiş ve kaşelenmiş İdari ve Teknik Şartname kopyaları (ıslak imza ve kaşeli)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3.8.2. </w:t>
      </w:r>
      <w:r>
        <w:rPr>
          <w:rFonts w:ascii="Times New Roman" w:hAnsi="Times New Roman" w:cs="Times New Roman"/>
          <w:bCs/>
          <w:color w:val="000000"/>
          <w:sz w:val="24"/>
          <w:szCs w:val="24"/>
        </w:rPr>
        <w:t>İstekli Firma Tebligat adresi ile gerektiğinde haberleşmek için telefon, faks ve elektronik posta adresi</w:t>
      </w:r>
    </w:p>
    <w:p w:rsidR="00143A4B" w:rsidRDefault="00E54FC0">
      <w:pPr>
        <w:pStyle w:val="ListeParagraf"/>
        <w:numPr>
          <w:ilvl w:val="2"/>
          <w:numId w:val="2"/>
        </w:num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Güncel Oda sicil kayıt sureti </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3.8.4</w:t>
      </w:r>
      <w:r>
        <w:rPr>
          <w:rFonts w:ascii="Times New Roman" w:hAnsi="Times New Roman" w:cs="Times New Roman"/>
          <w:bCs/>
          <w:color w:val="000000"/>
          <w:sz w:val="24"/>
          <w:szCs w:val="24"/>
        </w:rPr>
        <w:t xml:space="preserve">. Firmanın kuruluş ticaret sicil gazetesi kopyası (varsa </w:t>
      </w:r>
      <w:r>
        <w:rPr>
          <w:rFonts w:ascii="Times New Roman" w:hAnsi="Times New Roman" w:cs="Times New Roman"/>
          <w:bCs/>
          <w:color w:val="000000"/>
          <w:sz w:val="24"/>
          <w:szCs w:val="24"/>
          <w:u w:val="single"/>
        </w:rPr>
        <w:t>ana sözleşme</w:t>
      </w:r>
      <w:r>
        <w:rPr>
          <w:rFonts w:ascii="Times New Roman" w:hAnsi="Times New Roman" w:cs="Times New Roman"/>
          <w:bCs/>
          <w:color w:val="000000"/>
          <w:sz w:val="24"/>
          <w:szCs w:val="24"/>
        </w:rPr>
        <w:t xml:space="preserve"> değişiklikleri ile birlikte)</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3.8.5</w:t>
      </w:r>
      <w:r>
        <w:rPr>
          <w:rFonts w:ascii="Times New Roman" w:hAnsi="Times New Roman" w:cs="Times New Roman"/>
          <w:bCs/>
          <w:color w:val="000000"/>
          <w:sz w:val="24"/>
          <w:szCs w:val="24"/>
        </w:rPr>
        <w:t>. Geçerli imza sirküleri kopyası</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3.8.6. </w:t>
      </w:r>
      <w:r>
        <w:rPr>
          <w:rFonts w:ascii="Times New Roman" w:hAnsi="Times New Roman" w:cs="Times New Roman"/>
          <w:bCs/>
          <w:color w:val="000000"/>
          <w:sz w:val="24"/>
          <w:szCs w:val="24"/>
        </w:rPr>
        <w:t>Son Vergi Levhası kopyası</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3.8.7. </w:t>
      </w:r>
      <w:r>
        <w:rPr>
          <w:rFonts w:ascii="Times New Roman" w:hAnsi="Times New Roman" w:cs="Times New Roman"/>
          <w:bCs/>
          <w:color w:val="000000"/>
          <w:sz w:val="24"/>
          <w:szCs w:val="24"/>
        </w:rPr>
        <w:t>Son iki yıla ait onaylı, Bilanço-Gelir tablosu ile son beyan edilen Kurumlar Vergi beyannamesi.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3.8.8. </w:t>
      </w:r>
      <w:r>
        <w:rPr>
          <w:rFonts w:ascii="Times New Roman" w:hAnsi="Times New Roman" w:cs="Times New Roman"/>
          <w:bCs/>
          <w:color w:val="000000"/>
          <w:sz w:val="24"/>
          <w:szCs w:val="24"/>
        </w:rPr>
        <w:t>İşbu şartname konusu hizmetleri yerine getirebileceğini gösterir yetki ve izin belgeleri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3.8.9</w:t>
      </w:r>
      <w:r>
        <w:rPr>
          <w:rFonts w:ascii="Times New Roman" w:hAnsi="Times New Roman" w:cs="Times New Roman"/>
          <w:bCs/>
          <w:color w:val="000000"/>
          <w:sz w:val="24"/>
          <w:szCs w:val="24"/>
        </w:rPr>
        <w:t>. İsteklinin son 5 (beş) yıl boyunca ihale konusu işler ile ilgili faaliyetinin olduğuna dair belge,</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3.8.10</w:t>
      </w:r>
      <w:r>
        <w:rPr>
          <w:rFonts w:ascii="Times New Roman" w:hAnsi="Times New Roman" w:cs="Times New Roman"/>
          <w:bCs/>
          <w:color w:val="000000"/>
          <w:sz w:val="24"/>
          <w:szCs w:val="24"/>
        </w:rPr>
        <w:t>. En son döneme ait SGK’ ya vadesi geçmiş prim borcu olmadığına ilişkin SGK’ dan alınacak ilişiksizlik belgesi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3.8.11</w:t>
      </w:r>
      <w:r>
        <w:rPr>
          <w:rFonts w:ascii="Times New Roman" w:hAnsi="Times New Roman" w:cs="Times New Roman"/>
          <w:bCs/>
          <w:color w:val="000000"/>
          <w:sz w:val="24"/>
          <w:szCs w:val="24"/>
        </w:rPr>
        <w:t>. En son döneme ait vadesi geçmiş gelir/kurumlar/katma değer vergisi ve gelir vergisi stopajı borcu olmadığına dair, bağlı olunan Vergi Dairesinden alınacak ilişiksizlik belgesi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3.8.12</w:t>
      </w:r>
      <w:r>
        <w:rPr>
          <w:rFonts w:ascii="Times New Roman" w:hAnsi="Times New Roman" w:cs="Times New Roman"/>
          <w:bCs/>
          <w:color w:val="000000"/>
          <w:sz w:val="24"/>
          <w:szCs w:val="24"/>
        </w:rPr>
        <w:t xml:space="preserve">. İstekli tarafından imza ve kaşelenmiş Kamu İhale Yasaklısı olmadığına dair beyanı (Kamu İhale Kurumu’nun güncel “Yasaklılar Listesi” </w:t>
      </w:r>
      <w:proofErr w:type="spellStart"/>
      <w:r>
        <w:rPr>
          <w:rFonts w:ascii="Times New Roman" w:hAnsi="Times New Roman" w:cs="Times New Roman"/>
          <w:bCs/>
          <w:color w:val="000000"/>
          <w:sz w:val="24"/>
          <w:szCs w:val="24"/>
        </w:rPr>
        <w:t>nde</w:t>
      </w:r>
      <w:proofErr w:type="spellEnd"/>
      <w:r>
        <w:rPr>
          <w:rFonts w:ascii="Times New Roman" w:hAnsi="Times New Roman" w:cs="Times New Roman"/>
          <w:bCs/>
          <w:color w:val="000000"/>
          <w:sz w:val="24"/>
          <w:szCs w:val="24"/>
        </w:rPr>
        <w:t xml:space="preserve"> bulunduğu tespit edilen İsteklilerin teklifleri kabul edilmez/dikkate ve değerlendirmeye alınmaz/tespit edildiği safhada değerlendirme dışı bırakılır).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3.9.</w:t>
      </w:r>
      <w:r>
        <w:rPr>
          <w:rFonts w:ascii="Times New Roman" w:hAnsi="Times New Roman" w:cs="Times New Roman"/>
          <w:b/>
          <w:color w:val="000000"/>
          <w:sz w:val="24"/>
          <w:szCs w:val="24"/>
        </w:rPr>
        <w:t>Teklif Hazırlama Giderleri:</w:t>
      </w:r>
      <w:r>
        <w:rPr>
          <w:rFonts w:ascii="Times New Roman" w:hAnsi="Times New Roman" w:cs="Times New Roman"/>
          <w:color w:val="000000"/>
          <w:sz w:val="24"/>
          <w:szCs w:val="24"/>
        </w:rPr>
        <w:t xml:space="preserve"> Tekliflerin hazırlanması ve sunulması ile ilgili bütün masraflar İstekliye aittir. İstekli, teklifini hazırlamak için yapmış olduğu hiçbir masrafı Üniversiteden isteyemez.</w:t>
      </w:r>
    </w:p>
    <w:p w:rsidR="00143A4B" w:rsidRDefault="00143A4B">
      <w:pPr>
        <w:tabs>
          <w:tab w:val="left" w:pos="993"/>
        </w:tabs>
        <w:spacing w:before="120" w:after="120"/>
        <w:jc w:val="both"/>
        <w:rPr>
          <w:rFonts w:ascii="Times New Roman" w:hAnsi="Times New Roman" w:cs="Times New Roman"/>
          <w:color w:val="000000"/>
          <w:sz w:val="24"/>
          <w:szCs w:val="24"/>
        </w:rPr>
      </w:pPr>
    </w:p>
    <w:p w:rsidR="00143A4B" w:rsidRDefault="00143A4B">
      <w:pPr>
        <w:tabs>
          <w:tab w:val="left" w:pos="993"/>
        </w:tabs>
        <w:spacing w:before="120" w:after="120"/>
        <w:jc w:val="both"/>
        <w:rPr>
          <w:rFonts w:ascii="Times New Roman" w:hAnsi="Times New Roman" w:cs="Times New Roman"/>
          <w:color w:val="000000"/>
          <w:sz w:val="24"/>
          <w:szCs w:val="24"/>
        </w:rPr>
      </w:pPr>
    </w:p>
    <w:p w:rsidR="00143A4B" w:rsidRDefault="00143A4B">
      <w:pPr>
        <w:tabs>
          <w:tab w:val="left" w:pos="993"/>
        </w:tabs>
        <w:spacing w:before="120" w:after="120"/>
        <w:jc w:val="both"/>
        <w:rPr>
          <w:rFonts w:ascii="Times New Roman" w:hAnsi="Times New Roman" w:cs="Times New Roman"/>
          <w:color w:val="000000"/>
          <w:sz w:val="24"/>
          <w:szCs w:val="24"/>
        </w:rPr>
      </w:pPr>
    </w:p>
    <w:p w:rsidR="004677B0" w:rsidRDefault="004677B0">
      <w:pPr>
        <w:tabs>
          <w:tab w:val="left" w:pos="993"/>
        </w:tabs>
        <w:spacing w:before="120" w:after="120"/>
        <w:jc w:val="both"/>
        <w:rPr>
          <w:rFonts w:ascii="Times New Roman" w:hAnsi="Times New Roman" w:cs="Times New Roman"/>
          <w:color w:val="000000"/>
          <w:sz w:val="24"/>
          <w:szCs w:val="24"/>
        </w:rPr>
      </w:pPr>
    </w:p>
    <w:p w:rsidR="004677B0" w:rsidRDefault="004677B0">
      <w:pPr>
        <w:tabs>
          <w:tab w:val="left" w:pos="993"/>
        </w:tabs>
        <w:spacing w:before="120" w:after="120"/>
        <w:jc w:val="both"/>
        <w:rPr>
          <w:rFonts w:ascii="Times New Roman" w:hAnsi="Times New Roman" w:cs="Times New Roman"/>
          <w:color w:val="000000"/>
          <w:sz w:val="24"/>
          <w:szCs w:val="24"/>
        </w:rPr>
      </w:pPr>
    </w:p>
    <w:p w:rsidR="004677B0" w:rsidRDefault="004677B0">
      <w:pPr>
        <w:tabs>
          <w:tab w:val="left" w:pos="993"/>
        </w:tabs>
        <w:spacing w:before="120" w:after="120"/>
        <w:jc w:val="both"/>
        <w:rPr>
          <w:rFonts w:ascii="Times New Roman" w:hAnsi="Times New Roman" w:cs="Times New Roman"/>
          <w:color w:val="000000"/>
          <w:sz w:val="24"/>
          <w:szCs w:val="24"/>
        </w:rPr>
      </w:pPr>
    </w:p>
    <w:p w:rsidR="00143A4B" w:rsidRDefault="00E54FC0">
      <w:pPr>
        <w:pStyle w:val="ListeParagraf"/>
        <w:numPr>
          <w:ilvl w:val="0"/>
          <w:numId w:val="2"/>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İhaleye katılamayacaklar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Aşağıda belirtilen kimseler doğrudan veya dolaylı ya da alt yüklenici olarak kendileri veya başkaları adına ihaleye katılamazlar: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4.1.1.</w:t>
      </w:r>
      <w:r>
        <w:rPr>
          <w:rFonts w:ascii="Times New Roman" w:hAnsi="Times New Roman" w:cs="Times New Roman"/>
          <w:color w:val="000000"/>
          <w:sz w:val="24"/>
          <w:szCs w:val="24"/>
        </w:rPr>
        <w:t xml:space="preserve"> İhale ile ilgili iş ve işlemleri hazırlamak, yürütmek, sonuçlandırmak ve denetlemekle görevli olanlar.</w:t>
      </w:r>
    </w:p>
    <w:p w:rsidR="00143A4B" w:rsidRDefault="00E54FC0">
      <w:pPr>
        <w:tabs>
          <w:tab w:val="left" w:pos="993"/>
        </w:tabs>
        <w:spacing w:before="120" w:after="12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4.1.2.</w:t>
      </w:r>
      <w:r>
        <w:rPr>
          <w:rFonts w:ascii="Times New Roman" w:hAnsi="Times New Roman" w:cs="Times New Roman"/>
          <w:color w:val="000000"/>
          <w:sz w:val="24"/>
          <w:szCs w:val="24"/>
        </w:rPr>
        <w:t xml:space="preserve"> 4/1/2002 tarihli ve 4734 sayılı Kamu İhale Kanunu ile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4.1.3.</w:t>
      </w:r>
      <w:r>
        <w:rPr>
          <w:rFonts w:ascii="Times New Roman" w:hAnsi="Times New Roman" w:cs="Times New Roman"/>
          <w:color w:val="000000"/>
          <w:sz w:val="24"/>
          <w:szCs w:val="24"/>
        </w:rPr>
        <w:t xml:space="preserve">  İlgili mercilerce hileli iflas ettiğine karar verilenler.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4.1.4.</w:t>
      </w:r>
      <w:r>
        <w:rPr>
          <w:rFonts w:ascii="Times New Roman" w:hAnsi="Times New Roman" w:cs="Times New Roman"/>
          <w:color w:val="000000"/>
          <w:sz w:val="24"/>
          <w:szCs w:val="24"/>
        </w:rPr>
        <w:t xml:space="preserve">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4.2.</w:t>
      </w:r>
      <w:r>
        <w:rPr>
          <w:rFonts w:ascii="Times New Roman" w:hAnsi="Times New Roman" w:cs="Times New Roman"/>
          <w:color w:val="000000"/>
          <w:sz w:val="24"/>
          <w:szCs w:val="24"/>
        </w:rPr>
        <w:t xml:space="preserve">  İhale konusu işin danışmanlık hizmetlerini yapan yükleniciler bu işin ihalesine katılamazlar. Aynı şekilde, ihale konusu işin yüklenicileri de o işin danışmanlık hizmeti ihalelerine katılamazlar.</w:t>
      </w:r>
    </w:p>
    <w:p w:rsidR="00143A4B" w:rsidRDefault="00E54FC0">
      <w:pPr>
        <w:tabs>
          <w:tab w:val="left" w:pos="993"/>
        </w:tabs>
        <w:spacing w:before="120" w:after="12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4.3.</w:t>
      </w:r>
      <w:r>
        <w:rPr>
          <w:rFonts w:ascii="Times New Roman" w:hAnsi="Times New Roman" w:cs="Times New Roman"/>
          <w:color w:val="000000"/>
          <w:sz w:val="24"/>
          <w:szCs w:val="24"/>
        </w:rPr>
        <w:t xml:space="preserve">   Birinci ve ikinci fıkrada 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4.4.</w:t>
      </w:r>
      <w:r>
        <w:rPr>
          <w:rFonts w:ascii="Times New Roman" w:hAnsi="Times New Roman" w:cs="Times New Roman"/>
          <w:color w:val="000000"/>
          <w:sz w:val="24"/>
          <w:szCs w:val="24"/>
        </w:rPr>
        <w:t xml:space="preserve"> Bu maddede belirtilen yasaklara rağmen ihaleye katılan istekliler ihale dışı bırakılır.  Ayrıca bu durumun tekliflerin değerlendirmesi aşamasında tespit edilememesi nedeniyle bunlardan biri üzerine ihale yapılmışsa, teminatı gelir kaydedilerek ihale iptal edilir.</w:t>
      </w:r>
    </w:p>
    <w:p w:rsidR="00143A4B" w:rsidRDefault="00E54FC0">
      <w:pPr>
        <w:numPr>
          <w:ilvl w:val="0"/>
          <w:numId w:val="2"/>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HİZMETİN YAPILACAĞI YERİN GÖRÜLMESİ</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Hizmetin yapılacağı yerleri ve çevresini gezmek, inceleme yapmak, teklif hazırlamak ve taahhüde girmek için gerekli olabilecek tüm bilgileri temin etmek İsteklinin sorumluluğundadır. İşyeri ve çevresinin görülmesi ile ilgili bütün masraflar İstekliye aittir. </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İstekli, işin yapılacağı yeri ve çevresini gezmekle; işyerinin şekli ve mahiyeti, iklim şartları ve hizmetin sağlanması için gerekli hususlarda maliyet ve zaman bakımından bilgi edinmiş, teklifini etkileyebilecek riskler, olağanüstü durumlar ve benzeri diğer unsurlara ilişkin gerekli her türlü bilgiyi almış sayılır.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İstekli veya temsilcisinin işin yapılacağı yeri görmek istemesi halinde, işin gerçekleştirileceği binalara ve/veya araziye girilmesi için gerekli izinler Üniversite tarafından verilecektir.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Teklifler değerlendirilirken,  İsteklinin işin yapılacağı yeri incelediği ve teklifini buna göre hazırladığı kabul edilir.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TEKLİF GEÇERLİLİK SÜRESİ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Teklifler, ihale kapanış tarihinden itibaren 30 (otuz) gün süreyle geçerli olacaktır. </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İHALE SÜRECİ ve TEKLİFLERİN DEĞERLENDİRİLMESİNE İLİŞKİN HUSUSLAR</w:t>
      </w:r>
    </w:p>
    <w:p w:rsidR="00143A4B" w:rsidRDefault="00E54FC0">
      <w:pPr>
        <w:numPr>
          <w:ilvl w:val="1"/>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İhale Süreci </w:t>
      </w:r>
    </w:p>
    <w:p w:rsidR="00143A4B" w:rsidRDefault="00E54FC0">
      <w:pPr>
        <w:numPr>
          <w:ilvl w:val="0"/>
          <w:numId w:val="4"/>
        </w:numPr>
        <w:tabs>
          <w:tab w:val="clear" w:pos="420"/>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İhale, yukarıda belirtilen tarih, saat ve </w:t>
      </w:r>
      <w:proofErr w:type="spellStart"/>
      <w:r>
        <w:rPr>
          <w:rFonts w:ascii="Times New Roman" w:hAnsi="Times New Roman" w:cs="Times New Roman"/>
          <w:bCs/>
          <w:color w:val="000000"/>
          <w:sz w:val="24"/>
          <w:szCs w:val="24"/>
        </w:rPr>
        <w:t>usülde</w:t>
      </w:r>
      <w:proofErr w:type="spellEnd"/>
      <w:r>
        <w:rPr>
          <w:rFonts w:ascii="Times New Roman" w:hAnsi="Times New Roman" w:cs="Times New Roman"/>
          <w:bCs/>
          <w:color w:val="000000"/>
          <w:sz w:val="24"/>
          <w:szCs w:val="24"/>
        </w:rPr>
        <w:t xml:space="preserve"> Piri Reis Üniversitesi, Postane Mah. Eflatun </w:t>
      </w:r>
      <w:proofErr w:type="spellStart"/>
      <w:r>
        <w:rPr>
          <w:rFonts w:ascii="Times New Roman" w:hAnsi="Times New Roman" w:cs="Times New Roman"/>
          <w:bCs/>
          <w:color w:val="000000"/>
          <w:sz w:val="24"/>
          <w:szCs w:val="24"/>
        </w:rPr>
        <w:t>Sk</w:t>
      </w:r>
      <w:proofErr w:type="spellEnd"/>
      <w:r>
        <w:rPr>
          <w:rFonts w:ascii="Times New Roman" w:hAnsi="Times New Roman" w:cs="Times New Roman"/>
          <w:bCs/>
          <w:color w:val="000000"/>
          <w:sz w:val="24"/>
          <w:szCs w:val="24"/>
        </w:rPr>
        <w:t>. No:8 Tuzla adresindeki Deniz Kampüsünde yapılacaktır.</w:t>
      </w:r>
    </w:p>
    <w:p w:rsidR="00143A4B" w:rsidRDefault="00E54FC0">
      <w:pPr>
        <w:numPr>
          <w:ilvl w:val="0"/>
          <w:numId w:val="4"/>
        </w:numPr>
        <w:tabs>
          <w:tab w:val="clear" w:pos="420"/>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İhaleye katılacak İstekli temsilcilerinin, isteklinin imza sirkülerinde İstekliyi temsile yetkili olduğu belirlenmiş ve yeterli sayıda kişilerden veya vekâleten katılacak ise yeterli sayıda yetkililerce düzenlenmiş noter tasdikli vekâletname ve noter tasdikli imza beyannamesi sahibi vekillerden olması gerekir.</w:t>
      </w:r>
    </w:p>
    <w:p w:rsidR="00143A4B" w:rsidRDefault="00E54FC0">
      <w:pPr>
        <w:numPr>
          <w:ilvl w:val="0"/>
          <w:numId w:val="4"/>
        </w:numPr>
        <w:tabs>
          <w:tab w:val="clear" w:pos="420"/>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Teknik şartnamede belirtilen ödeme şekline göre hazırlanacak fiyat teklifleri belirtilen gün ve saatte kapalı zarf ile İhale Komisyonuna teslim edilecektir. Açık Eksiltme usulü ile yapılacak ihale için belirtilen gün ve saatte davet edilmiş olan İstekli yetkilileri ihale salonuna alınarak beraberlerinde getirmiş olmaları gereken kapalı zarf fiyat teklifleri tüm İstekliler huzurunda açılarak belge uygunluk kontrolü yapılacaktır.</w:t>
      </w:r>
    </w:p>
    <w:p w:rsidR="00143A4B" w:rsidRDefault="00E54FC0">
      <w:pPr>
        <w:numPr>
          <w:ilvl w:val="0"/>
          <w:numId w:val="4"/>
        </w:numPr>
        <w:tabs>
          <w:tab w:val="clear" w:pos="420"/>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Teklif dosyalarında eksik belgesi bulunan veya uygun olmayan istekliler Açık Eksiltmeye katılamayacaklardır.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7.2. Tekliflerin değerlendirilmesi;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İhale komisyonunca ihale/ön yeterlik dokümanında belirtilen saatte, kaç teklif verilmiş olduğu bir tutanakla tespit edilerek hazır bulunanlara duyurulur ve hemen ihaleye başlanır. İhale komisyonu, teklif zarflarını alınış sırasına göre inceler. 3.2. maddenin birinci fıkrasına uygun olmayan zarflar bir tutanak ile belirlenerek değerlendirmeye alınmaz. Zarflar isteklilerle birlikte hazır bulunanlar önünde alınış sırasına göre açılır.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İsteklilerin belgelerinin eksik olup olmadığı ve teklif mektubunun usulüne uygun olup olmadığı kontrol edilir. Belgeleri eksik veya teklif mektubu uygun olmayan istekliler tutanakla tespit edilir. Komisyon Başkanı tarafından Açık Eksiltmenin kaç turda yapılacağı açıklanır ve eksiltilmiş fiyatlarını yazmaları (gerekirse şirket merkezleri ile telefon ile görüşmek için ara verilir) </w:t>
      </w:r>
      <w:proofErr w:type="gramStart"/>
      <w:r>
        <w:rPr>
          <w:rFonts w:ascii="Times New Roman" w:hAnsi="Times New Roman" w:cs="Times New Roman"/>
          <w:bCs/>
          <w:color w:val="000000"/>
          <w:sz w:val="24"/>
          <w:szCs w:val="24"/>
        </w:rPr>
        <w:t>istenir .</w:t>
      </w:r>
      <w:proofErr w:type="gramEnd"/>
      <w:r>
        <w:rPr>
          <w:rFonts w:ascii="Times New Roman" w:hAnsi="Times New Roman" w:cs="Times New Roman"/>
          <w:bCs/>
          <w:color w:val="000000"/>
          <w:sz w:val="24"/>
          <w:szCs w:val="24"/>
        </w:rPr>
        <w:t xml:space="preserve"> Son turda yine </w:t>
      </w:r>
      <w:proofErr w:type="spellStart"/>
      <w:r>
        <w:rPr>
          <w:rFonts w:ascii="Times New Roman" w:hAnsi="Times New Roman" w:cs="Times New Roman"/>
          <w:bCs/>
          <w:color w:val="000000"/>
          <w:sz w:val="24"/>
          <w:szCs w:val="24"/>
        </w:rPr>
        <w:t>eksitme</w:t>
      </w:r>
      <w:proofErr w:type="spellEnd"/>
      <w:r>
        <w:rPr>
          <w:rFonts w:ascii="Times New Roman" w:hAnsi="Times New Roman" w:cs="Times New Roman"/>
          <w:bCs/>
          <w:color w:val="000000"/>
          <w:sz w:val="24"/>
          <w:szCs w:val="24"/>
        </w:rPr>
        <w:t xml:space="preserve"> talep edilir ve “Nihai fiyatımdır” ibaresi yazılarak son tur kapatılır İsteklilere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Belgelerinin eksik olduğu veya teklif mektubunun usulüne uygun olmadığı, bu maddenin birinci ve ikinci fıkrasına göre tespit edilen isteklilerin tekliflerinin değerlendirme dışı bırakılmasına ilk oturumda öncelikle karar verilir. Ancak teklifin esasını etkilemeyecek nitelikte bilgi ve/veya belge eksikliği bulunması halinde Üniversite tarafından belirlenen sürede isteklilerden, bu eksik bilgi ve/veya belgelerin tamamlanması yazılı olarak istenir. Belirlenen sürede bilgi ve/veya belgeleri tamamlamayan istekliler değerlendirme dışı bırakılır.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Bu ilk değerlendirme ve işlemler sonucunda belgeleri eksiksiz ve teklif mektubu usulüne uygun olan isteklilerin tekliflerinin ayrıntılı değerlendirilmesine geçilir. Bu aşamada, isteklilerin ihale konusu işi yapabilme kapasitelerini belirleyen yeterlik </w:t>
      </w:r>
      <w:proofErr w:type="gramStart"/>
      <w:r>
        <w:rPr>
          <w:rFonts w:ascii="Times New Roman" w:hAnsi="Times New Roman" w:cs="Times New Roman"/>
          <w:bCs/>
          <w:color w:val="000000"/>
          <w:sz w:val="24"/>
          <w:szCs w:val="24"/>
        </w:rPr>
        <w:t>kriterlerine</w:t>
      </w:r>
      <w:proofErr w:type="gramEnd"/>
      <w:r>
        <w:rPr>
          <w:rFonts w:ascii="Times New Roman" w:hAnsi="Times New Roman" w:cs="Times New Roman"/>
          <w:bCs/>
          <w:color w:val="000000"/>
          <w:sz w:val="24"/>
          <w:szCs w:val="24"/>
        </w:rPr>
        <w:t xml:space="preserve"> ve tekliflerin ihale/ön yeterlik dokümanında belirtilen şartlara uygun olup olmadığı incelenir. Uygun olmadığı belirlenen isteklilerin teklifleri değerlendirme dışı bırakılır.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İhale komisyonu, verilen teklifleri değerlendirdikten sonra diğer tekliflere veya Üniversitenin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143A4B" w:rsidRDefault="00E54FC0">
      <w:pPr>
        <w:tabs>
          <w:tab w:val="left" w:pos="993"/>
        </w:tabs>
        <w:spacing w:before="120" w:after="120"/>
        <w:ind w:left="142"/>
        <w:jc w:val="both"/>
        <w:rPr>
          <w:rFonts w:ascii="Times New Roman" w:hAnsi="Times New Roman" w:cs="Times New Roman"/>
          <w:b/>
          <w:color w:val="000000"/>
          <w:sz w:val="24"/>
          <w:szCs w:val="24"/>
        </w:rPr>
      </w:pPr>
      <w:r>
        <w:rPr>
          <w:rFonts w:ascii="Times New Roman" w:hAnsi="Times New Roman" w:cs="Times New Roman"/>
          <w:b/>
          <w:color w:val="000000"/>
          <w:sz w:val="24"/>
          <w:szCs w:val="24"/>
        </w:rPr>
        <w:t>7.3.İhalenin karara bağlanması ve onaylanması</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Yapılan değerlendirme sonucunda ihale, ekonomik açıdan en avantajlı teklifi veren isteklinin üzerinde bırakılır.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Ekonomik açıdan en avantajlı teklif, sadece fiyat esasına göre veya fiyat ile birlikte işletme ve bakım maliyeti, maliyet etkinliği, verimlilik, kalite ve teknik değer gibi fiyat dışındaki unsurlar da dikkate alınarak belirlenir.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İhale yetkilisi, karar tarihini izleyen en geç beş işgünü içinde ihale kararını onaylar veya gerekçesini açıkça belirtmek suretiyle iptal eder.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İhale; kararın onaylanması halinde geçerli, iptal edilmesi halinde ise hükümsüz sayılır.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İhale sonucunun bütün isteklilere bildiriminden itibaren üç işgünü geçmedikçe sözleşme imzalanamaz.</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Yukarıda belirtilen sürenin bitimini izleyen günden itibaren üç işgünü içinde ihale üzerinde bırakılan istekliye, tebliğ tarihini izleyen on işgünü içinde kesin teminatı vermek suretiyle sözleşmeyi imzalaması hususu bildirilir.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ÖDEME</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Ekte yer alan Teknik Şartnamede belirtildiği şekildedir.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GENEL MADDELER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Üniversite, hizmet kalitesinin gerilediğinin veya Yüklenicinin finansal, hukuksal ve ortaklık yapısına ilişkin olumsuz ve sözleşmeyi imzaladığı duruma göre farklılık gösteren gelişmelerin ortaya çıkması durumunda ve bu durumun resmi makamlarca da uyarı yapılarak </w:t>
      </w:r>
      <w:proofErr w:type="gramStart"/>
      <w:r>
        <w:rPr>
          <w:rFonts w:ascii="Times New Roman" w:hAnsi="Times New Roman" w:cs="Times New Roman"/>
          <w:color w:val="000000"/>
          <w:sz w:val="24"/>
          <w:szCs w:val="24"/>
        </w:rPr>
        <w:t>Yükleniciye  bildirilmesi</w:t>
      </w:r>
      <w:proofErr w:type="gramEnd"/>
      <w:r>
        <w:rPr>
          <w:rFonts w:ascii="Times New Roman" w:hAnsi="Times New Roman" w:cs="Times New Roman"/>
          <w:color w:val="000000"/>
          <w:sz w:val="24"/>
          <w:szCs w:val="24"/>
        </w:rPr>
        <w:t xml:space="preserve"> ve düzeltilmesi için uyarı yapılması, yapılan uyarılara rağmen azami 7 (yedi) takvim günü içerisinde gerileyen hizmet kalitesinin iyileştirilmemesi veya değişen koşullarının düzeltilmemesi durumunda karşı tarafa 1 (bir) ay önceden ihbarda bulunmak suretiyle, Sözleşmeyi tek taraflı olarak fesih etme hakkına sahiptir. Söz konusu gerileyen hizmetin alınması için Üniversitenin almak zorunda kalacağı tedbirlerin maliyeti Yükleniciye rücu edilir. </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İstekli, İhalenin uhdesinde kalması halinde, Sözleşme imza tarihi itibariyle tam teşekküllü olarak Hizmete başlamayı kabul ve taahhüt eder.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CEZAİ ŞARTLAR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Seçilen İstekli, ihale sonucunun kendisine bildirilerek Sözleşme imzalamak üzere davet edildiği tarihten itibaren </w:t>
      </w:r>
      <w:r w:rsidR="009A35F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(üç) iş günü içinde Üniversitenin </w:t>
      </w:r>
      <w:proofErr w:type="spellStart"/>
      <w:r>
        <w:rPr>
          <w:rFonts w:ascii="Times New Roman" w:hAnsi="Times New Roman" w:cs="Times New Roman"/>
          <w:color w:val="000000"/>
          <w:sz w:val="24"/>
          <w:szCs w:val="24"/>
        </w:rPr>
        <w:t>Satınalma</w:t>
      </w:r>
      <w:proofErr w:type="spellEnd"/>
      <w:r>
        <w:rPr>
          <w:rFonts w:ascii="Times New Roman" w:hAnsi="Times New Roman" w:cs="Times New Roman"/>
          <w:color w:val="000000"/>
          <w:sz w:val="24"/>
          <w:szCs w:val="24"/>
        </w:rPr>
        <w:t xml:space="preserve"> Müdürlüğü birimine müracaat ederek Sözleşme/poliçeyi imzalamak zorundadır. Aksi halde Üniversite hiçbir ihtara gerek kalmaksızın ihale konusu hizmeti bir başka İstekliye dilediği usulde yaptırmaya ve arada doğabilecek fiyat farkını sözleşme </w:t>
      </w:r>
      <w:proofErr w:type="gramStart"/>
      <w:r>
        <w:rPr>
          <w:rFonts w:ascii="Times New Roman" w:hAnsi="Times New Roman" w:cs="Times New Roman"/>
          <w:color w:val="000000"/>
          <w:sz w:val="24"/>
          <w:szCs w:val="24"/>
        </w:rPr>
        <w:t>prosedürünü</w:t>
      </w:r>
      <w:proofErr w:type="gramEnd"/>
      <w:r>
        <w:rPr>
          <w:rFonts w:ascii="Times New Roman" w:hAnsi="Times New Roman" w:cs="Times New Roman"/>
          <w:color w:val="000000"/>
          <w:sz w:val="24"/>
          <w:szCs w:val="24"/>
        </w:rPr>
        <w:t xml:space="preserve"> yerine getirmeyen İstekliden tazmin ve tahsile yetkilidir. Her durumda Üniversite, İstekli ile arasındaki Sözleşmenin/hizmetin öngörüldüğü şekilde kurulmaması nedeniyle uğrayacağı zararla</w:t>
      </w:r>
      <w:r w:rsidR="009A35F0">
        <w:rPr>
          <w:rFonts w:ascii="Times New Roman" w:hAnsi="Times New Roman" w:cs="Times New Roman"/>
          <w:color w:val="000000"/>
          <w:sz w:val="24"/>
          <w:szCs w:val="24"/>
        </w:rPr>
        <w:t xml:space="preserve">rı, sözleşme öncesi sorumluluk </w:t>
      </w:r>
      <w:r>
        <w:rPr>
          <w:rFonts w:ascii="Times New Roman" w:hAnsi="Times New Roman" w:cs="Times New Roman"/>
          <w:color w:val="000000"/>
          <w:sz w:val="24"/>
          <w:szCs w:val="24"/>
        </w:rPr>
        <w:t>ve yasal mevzuat hükümleri kapsamında tazmin hakkını saklı tutar.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Sözleşmede belirtilen hizmet başlangıç tarihinde, İstekli Hizmeti başlatmakla yükümlüdür. Hizmet başlangıcında gecikilen her takvim günü için, sözleşmede aksine hüküm olmadığı takdirde toplam ihale bedelinin %2 (yüzde iki)’si oranında günlük gecikme cezası tahakkuk ettirilecektir. Ancak bu gecikme 5 (beş) iş gününü geçemez. Geçtiği takdirde Üniversite cezai şartların 1. bendini uygulamaya yetkilidir.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İsteklinin gerekçeli ve geçerli talebi halinde, hizmetin başlangıç tarihi için Üniversite ek süre verip vermemekte serbesttir. İstekli verilen ek süre içinde hizmet vermeye başlamadığı ve/veya hizmeti başlatmaktan kaçındığını tespit ettiği takdirde Üniversite sözleşmeyi feshetmeye, işi tekrar ihale etmeye ve ikinci ihaleden doğacak fiyat farkını, Üniversitenin bu yüzden uğrayacağı zarar ve ziyanı, İstekliden tahsil etmeye yetkilidir.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Yüklenicinin kusurundan kaynaklanan nedenlerle sözleşmenin Üniversite tarafından feshi durumunda Yüklenicinin tüm teminat, hak ve alacaklarına Üniversite tarafından </w:t>
      </w:r>
      <w:r>
        <w:rPr>
          <w:rFonts w:ascii="Times New Roman" w:hAnsi="Times New Roman" w:cs="Times New Roman"/>
          <w:color w:val="000000"/>
          <w:sz w:val="24"/>
          <w:szCs w:val="24"/>
        </w:rPr>
        <w:lastRenderedPageBreak/>
        <w:t>el konularak gelir kaydedilir. Yüklenici, Cezai Şartların (1.), (2.), (3.), (4.) bentlerinde belirlenen tüm cezai uygulamaları peşinen kabul ve taahhüt eder. Yüklenicinin kusuru ile ilgili başvuru kaynağı bu İdari Şartname ve ekli Teknik Şartname ile birlikte bu ihale sonucu imzalanacak Sözleşme ve eklerindeki ilgili hükümlerdir.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İstekli kendisi ile imzalanacak sözleşme ile yüklendiği hizmetler dolayısıyla </w:t>
      </w:r>
      <w:proofErr w:type="gramStart"/>
      <w:r>
        <w:rPr>
          <w:rFonts w:ascii="Times New Roman" w:hAnsi="Times New Roman" w:cs="Times New Roman"/>
          <w:color w:val="000000"/>
          <w:sz w:val="24"/>
          <w:szCs w:val="24"/>
        </w:rPr>
        <w:t>SGK  ve</w:t>
      </w:r>
      <w:proofErr w:type="gramEnd"/>
      <w:r>
        <w:rPr>
          <w:rFonts w:ascii="Times New Roman" w:hAnsi="Times New Roman" w:cs="Times New Roman"/>
          <w:color w:val="000000"/>
          <w:sz w:val="24"/>
          <w:szCs w:val="24"/>
        </w:rPr>
        <w:t xml:space="preserve"> Vergi mevzuatı uyarınca ifa edilmesi gereken yükümlülüklerinden doğrudan sorumlu olduğunu bu yükümlülüklerin yerine getirilmesi ile ilgili olarak Üniversite’den hiçbir talepte bulunulmayacağını, anılan yükümlülüklerin Üniversite tarafından yerine getirilmiş olması halinde ise Üniversite’nin talebi üzerine İstekli, Üniversitenin yaptığı ödemeyi itirazsız olarak nakden ve defaten ödeyeceğini, bahse konu yükümlülükleri yerine getirdiğine dair belgeleri istendiğinde Üniversiteye ibraz edeceğini kabul ve taahhüt eder. </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İstekli, Üniversitenin her türlü alacağını ve/veya poliçe teminat kapsamı </w:t>
      </w:r>
      <w:proofErr w:type="gramStart"/>
      <w:r>
        <w:rPr>
          <w:rFonts w:ascii="Times New Roman" w:hAnsi="Times New Roman" w:cs="Times New Roman"/>
          <w:color w:val="000000"/>
          <w:sz w:val="24"/>
          <w:szCs w:val="24"/>
        </w:rPr>
        <w:t>giren  bir</w:t>
      </w:r>
      <w:proofErr w:type="gramEnd"/>
      <w:r>
        <w:rPr>
          <w:rFonts w:ascii="Times New Roman" w:hAnsi="Times New Roman" w:cs="Times New Roman"/>
          <w:color w:val="000000"/>
          <w:sz w:val="24"/>
          <w:szCs w:val="24"/>
        </w:rPr>
        <w:t xml:space="preserve"> hasar bedelini, kendisine ödenecek istihkaktan mahsup edilebileceğini kabul ve taahhüt eder. </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İŞİN ve İSTİHKAKIN DEVRİ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Üniversite’nin yazılı müsaadesi olmadıkça; İstekli sözleşme konusu işi/hizmeti veya istihkakını başka bir firma veya kişiye devir ve temlik edemez, bir başka firma veya kişiyle ortak olamaz, kendi hisselerinin tamamını veya bir kısmını bir başka firma veya kişiye devredemez.</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VERGİ, RESİM ve HARÇLAR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Bu ihale konusu hizmet satın alımından doğacak her türlü vergi, resim, harç, sözleşme damga vergisi, banka işlemleri masra</w:t>
      </w:r>
      <w:r w:rsidR="009A35F0">
        <w:rPr>
          <w:rFonts w:ascii="Times New Roman" w:hAnsi="Times New Roman" w:cs="Times New Roman"/>
          <w:color w:val="000000"/>
          <w:sz w:val="24"/>
          <w:szCs w:val="24"/>
        </w:rPr>
        <w:t xml:space="preserve">fları vb. tüm giderler İstekli </w:t>
      </w:r>
      <w:r>
        <w:rPr>
          <w:rFonts w:ascii="Times New Roman" w:hAnsi="Times New Roman" w:cs="Times New Roman"/>
          <w:color w:val="000000"/>
          <w:sz w:val="24"/>
          <w:szCs w:val="24"/>
        </w:rPr>
        <w:t xml:space="preserve">tarafından karşılanacaktır. </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MÜCBİR SEBEPLER</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Üniversite’nin faaliyetini geçici veya daimi olarak kısmen veya tamamen durdurması, resmi makamların alacakları kararlar vb. zorunlu nedenlerden dolayı Üniversite bu durumda Yükleniciden hizmet alımı kısmen veya tamamen durdurmaya yetkilidir. Yüklenici bundan dolayı hiçbir zarar-ziyan ve/veya tazminat talebinde bulunmayacağını peşinen kabul ve taahhüt eder.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UYUŞMAZLIKLARIN ÇÖZÜMÜ</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Bu işten doğabilecek her türlü uyuşmazlıkların çözüm mercii İstanbul Anadolu Mahkemeleri ve İcra Daireleridir.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İhtilaf halinde her iki kurumun da defter ve kayıtları delil olarak kabul edilecektir.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Bu ihale sonucu imzalanacak Sözleşme/poliçe ve eklerinde belirtilmemiş hususlarda bu İdari ve ekli Teknik Şartnameler ile Sözleşme ve eklerine aykırı olmamak koşuluyla Türk Ticaret Kanunu ve Borçlar Kanunu hükümleri geçerlidir.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FİYAT FARKI</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İhale konusu iş/hizmet için Sözleşmenin uygulanması sırasında fiyat farkı hesaplanmayacaktır.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İHALE SERBESTİSİ</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 ihaleyi kısmen ya da tamamen yapıp yapmamakta, iptal etmekte, işi dilediği miktar ve usulde dilediğine vermekte, sözleşme/poliçeyi yapıp yapmamakta tamamen serbesttir. Üniversitenin sözleşme/poliçe yapmaktan vazgeçmesi halinde, ihaleyi kazanan istekli herhangi bir hak ve/veya alacak talebinde bulunamaz.</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İhaleyi kazanan İstekli, Sözleşme/poliçeleri imzalamaya davet edilecektir. Ancak bu Sözleşme/poliçeler Üniversite Yönetiminin onayından sonra yürürlüğe gireceğinden, gerek Üniversite Yönetiminin onaylamaması nedeniyle ihaleyi kazanan İsteklinin ve gerekse ihaleyi kaybeden İsteklinin ihale ile ilgili olarak yaptıkları masraflar, teminat komisyonu, şartname bedeli vb. gibi giderleri Üniversite tarafından karşılanmaz ve/veya geri ödenmez.</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TEBLİGAT</w:t>
      </w:r>
    </w:p>
    <w:p w:rsidR="00143A4B" w:rsidRDefault="00E54FC0">
      <w:pPr>
        <w:tabs>
          <w:tab w:val="left" w:pos="993"/>
        </w:tabs>
        <w:spacing w:before="120" w:after="1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İsteklinin kanuni ikametgâhına yapılacak her türlü yazılı tebligat, taahhütlü, iadeli taahhütlü, faks şeklinde gönderildiği takdirde tebellüğ edilsin veya edilmesin İstekliye resmen verilmiş ve teslim edilmiş kabul olunacaktır.</w:t>
      </w:r>
    </w:p>
    <w:p w:rsidR="00143A4B" w:rsidRDefault="00E54FC0">
      <w:pPr>
        <w:numPr>
          <w:ilvl w:val="0"/>
          <w:numId w:val="3"/>
        </w:numPr>
        <w:tabs>
          <w:tab w:val="left" w:pos="993"/>
        </w:tabs>
        <w:spacing w:before="120"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MÜTEFERRİK HUSUSLAR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 İdari Şartname ve ekli Teknik Şartname imzalanacak Sözleşme arasında birbiriyle çelişen hususlar olduğunda hangisinin geçerli olacağına Üniversite karar verir. </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İhaleye katılmış bulunan İsteklilerin varsa geçici teminatlar hariç hiçbir ihale evrakı İsteklilere iade edilmez.</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İhale dokümanın bedeli alınmayacak olup, ihale dokümanını almak isteyenler, ihale dokümanını oluşturan belgelerin aslına uygunluğunu ve belgelerin tamam olup olmadığını kontrol etmekle kendileri yükümlüdürler.</w:t>
      </w:r>
    </w:p>
    <w:p w:rsidR="00143A4B" w:rsidRDefault="00E54FC0">
      <w:pPr>
        <w:numPr>
          <w:ilvl w:val="1"/>
          <w:numId w:val="3"/>
        </w:num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İşbu İdari Şartname bu madde dâhil 18 (on sekiz) maddeden ibarettir.</w:t>
      </w:r>
    </w:p>
    <w:p w:rsidR="00143A4B" w:rsidRDefault="00E54FC0">
      <w:pPr>
        <w:tabs>
          <w:tab w:val="left" w:pos="993"/>
        </w:tabs>
        <w:spacing w:before="120" w:after="120"/>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EKLER:</w:t>
      </w:r>
    </w:p>
    <w:p w:rsidR="00143A4B" w:rsidRDefault="00E54FC0">
      <w:pPr>
        <w:tabs>
          <w:tab w:val="left" w:pos="993"/>
        </w:tabs>
        <w:spacing w:before="120" w:after="12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EK-1: </w:t>
      </w:r>
      <w:r>
        <w:rPr>
          <w:rFonts w:ascii="Times New Roman" w:hAnsi="Times New Roman" w:cs="Times New Roman"/>
          <w:color w:val="000000"/>
          <w:sz w:val="24"/>
          <w:szCs w:val="24"/>
        </w:rPr>
        <w:t>Teknik Şartname ve Ekleri</w:t>
      </w:r>
    </w:p>
    <w:p w:rsidR="00143A4B" w:rsidRDefault="00143A4B">
      <w:pPr>
        <w:tabs>
          <w:tab w:val="left" w:pos="993"/>
        </w:tabs>
        <w:spacing w:before="120" w:after="120"/>
        <w:jc w:val="both"/>
        <w:rPr>
          <w:rFonts w:ascii="Times New Roman" w:hAnsi="Times New Roman" w:cs="Times New Roman"/>
          <w:color w:val="000000"/>
          <w:sz w:val="24"/>
          <w:szCs w:val="24"/>
        </w:rPr>
      </w:pPr>
    </w:p>
    <w:p w:rsidR="00143A4B" w:rsidRDefault="00E54FC0">
      <w:pPr>
        <w:tabs>
          <w:tab w:val="left" w:pos="993"/>
        </w:tabs>
        <w:spacing w:before="120" w:after="120"/>
        <w:jc w:val="both"/>
        <w:rPr>
          <w:rFonts w:ascii="Times New Roman" w:hAnsi="Times New Roman" w:cs="Times New Roman"/>
          <w:b/>
          <w:sz w:val="24"/>
          <w:szCs w:val="24"/>
        </w:rPr>
      </w:pPr>
      <w:r>
        <w:rPr>
          <w:rFonts w:ascii="Times New Roman" w:hAnsi="Times New Roman" w:cs="Times New Roman"/>
          <w:b/>
          <w:color w:val="000000"/>
          <w:sz w:val="24"/>
          <w:szCs w:val="24"/>
        </w:rPr>
        <w:tab/>
      </w:r>
    </w:p>
    <w:sectPr w:rsidR="00143A4B">
      <w:headerReference w:type="default"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A4B" w:rsidRDefault="00E54FC0">
      <w:pPr>
        <w:spacing w:line="240" w:lineRule="auto"/>
      </w:pPr>
      <w:r>
        <w:separator/>
      </w:r>
    </w:p>
  </w:endnote>
  <w:endnote w:type="continuationSeparator" w:id="0">
    <w:p w:rsidR="00143A4B" w:rsidRDefault="00E54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MingLiU">
    <w:altName w:val="新細明體"/>
    <w:panose1 w:val="02010601000101010101"/>
    <w:charset w:val="86"/>
    <w:family w:val="auto"/>
    <w:pitch w:val="default"/>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923436"/>
    </w:sdtPr>
    <w:sdtEndPr/>
    <w:sdtContent>
      <w:sdt>
        <w:sdtPr>
          <w:id w:val="1728636285"/>
        </w:sdtPr>
        <w:sdtEndPr/>
        <w:sdtContent>
          <w:p w:rsidR="00143A4B" w:rsidRDefault="00E54FC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A35F0">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A35F0">
              <w:rPr>
                <w:b/>
                <w:bCs/>
                <w:noProof/>
              </w:rPr>
              <w:t>9</w:t>
            </w:r>
            <w:r>
              <w:rPr>
                <w:b/>
                <w:bCs/>
                <w:sz w:val="24"/>
                <w:szCs w:val="24"/>
              </w:rPr>
              <w:fldChar w:fldCharType="end"/>
            </w:r>
          </w:p>
        </w:sdtContent>
      </w:sdt>
    </w:sdtContent>
  </w:sdt>
  <w:p w:rsidR="00143A4B" w:rsidRDefault="00143A4B">
    <w:pPr>
      <w:pStyle w:val="AltBilgi"/>
      <w:tabs>
        <w:tab w:val="clear" w:pos="4536"/>
      </w:tabs>
      <w:rPr>
        <w:rFonts w:ascii="Times New Roman" w:hAnsi="Times New Roman" w:cs="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A4B" w:rsidRDefault="00E54FC0">
      <w:pPr>
        <w:spacing w:after="0"/>
      </w:pPr>
      <w:r>
        <w:separator/>
      </w:r>
    </w:p>
  </w:footnote>
  <w:footnote w:type="continuationSeparator" w:id="0">
    <w:p w:rsidR="00143A4B" w:rsidRDefault="00E54FC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143A4B">
      <w:trPr>
        <w:trHeight w:val="1243"/>
      </w:trPr>
      <w:tc>
        <w:tcPr>
          <w:tcW w:w="1838" w:type="dxa"/>
        </w:tcPr>
        <w:p w:rsidR="00143A4B" w:rsidRDefault="00E54FC0">
          <w:pPr>
            <w:spacing w:after="0" w:line="240" w:lineRule="auto"/>
          </w:pPr>
          <w:r>
            <w:rPr>
              <w:noProof/>
              <w:lang w:eastAsia="tr-TR"/>
            </w:rPr>
            <w:drawing>
              <wp:inline distT="0" distB="0" distL="0" distR="0">
                <wp:extent cx="10001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inline>
            </w:drawing>
          </w:r>
        </w:p>
      </w:tc>
      <w:tc>
        <w:tcPr>
          <w:tcW w:w="7224" w:type="dxa"/>
        </w:tcPr>
        <w:p w:rsidR="00143A4B" w:rsidRDefault="00143A4B">
          <w:pPr>
            <w:spacing w:after="0" w:line="240" w:lineRule="auto"/>
            <w:jc w:val="center"/>
          </w:pPr>
        </w:p>
        <w:p w:rsidR="00143A4B" w:rsidRDefault="00E54FC0">
          <w:pPr>
            <w:spacing w:after="0" w:line="240" w:lineRule="auto"/>
            <w:ind w:left="-1384"/>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T.C.</w:t>
          </w:r>
        </w:p>
        <w:p w:rsidR="00143A4B" w:rsidRDefault="00E54FC0">
          <w:pPr>
            <w:spacing w:after="0" w:line="240" w:lineRule="auto"/>
            <w:ind w:left="-1384"/>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PÎRÎ REİS ÜNİVERSİTESİ</w:t>
          </w:r>
        </w:p>
        <w:p w:rsidR="00143A4B" w:rsidRDefault="00E54FC0">
          <w:pPr>
            <w:spacing w:after="0" w:line="240" w:lineRule="auto"/>
            <w:ind w:left="-1384"/>
            <w:jc w:val="center"/>
          </w:pPr>
          <w:r>
            <w:rPr>
              <w:rFonts w:ascii="Times New Roman" w:hAnsi="Times New Roman" w:cs="Times New Roman"/>
              <w:b/>
              <w:color w:val="1F4E79" w:themeColor="accent1" w:themeShade="80"/>
              <w:sz w:val="24"/>
              <w:szCs w:val="24"/>
            </w:rPr>
            <w:t>Rektörlük</w:t>
          </w:r>
        </w:p>
      </w:tc>
    </w:tr>
  </w:tbl>
  <w:p w:rsidR="00143A4B" w:rsidRDefault="00143A4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41E42"/>
    <w:multiLevelType w:val="multilevel"/>
    <w:tmpl w:val="29F41E4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95741C"/>
    <w:multiLevelType w:val="multilevel"/>
    <w:tmpl w:val="5995741C"/>
    <w:lvl w:ilvl="0">
      <w:start w:val="1"/>
      <w:numFmt w:val="decimal"/>
      <w:lvlText w:val="%1."/>
      <w:lvlJc w:val="left"/>
      <w:pPr>
        <w:tabs>
          <w:tab w:val="left" w:pos="705"/>
        </w:tabs>
        <w:ind w:left="705" w:hanging="360"/>
      </w:pPr>
      <w:rPr>
        <w:rFonts w:hint="default"/>
        <w:b/>
        <w:i w:val="0"/>
      </w:rPr>
    </w:lvl>
    <w:lvl w:ilvl="1">
      <w:start w:val="1"/>
      <w:numFmt w:val="decimal"/>
      <w:isLgl/>
      <w:lvlText w:val="%1.%2."/>
      <w:lvlJc w:val="left"/>
      <w:pPr>
        <w:tabs>
          <w:tab w:val="left" w:pos="720"/>
        </w:tabs>
        <w:ind w:left="720" w:hanging="360"/>
      </w:pPr>
      <w:rPr>
        <w:rFonts w:hint="default"/>
        <w:b/>
        <w:i w:val="0"/>
      </w:rPr>
    </w:lvl>
    <w:lvl w:ilvl="2">
      <w:start w:val="1"/>
      <w:numFmt w:val="decimal"/>
      <w:isLgl/>
      <w:lvlText w:val="%1.%2.%3."/>
      <w:lvlJc w:val="left"/>
      <w:pPr>
        <w:tabs>
          <w:tab w:val="left" w:pos="1584"/>
        </w:tabs>
        <w:ind w:left="1080" w:hanging="216"/>
      </w:pPr>
      <w:rPr>
        <w:rFonts w:hint="default"/>
        <w:b/>
        <w:i w:val="0"/>
      </w:rPr>
    </w:lvl>
    <w:lvl w:ilvl="3">
      <w:start w:val="1"/>
      <w:numFmt w:val="decimal"/>
      <w:isLgl/>
      <w:lvlText w:val="%1.%2.%3.%4."/>
      <w:lvlJc w:val="left"/>
      <w:pPr>
        <w:tabs>
          <w:tab w:val="left" w:pos="1728"/>
        </w:tabs>
        <w:ind w:left="1080" w:hanging="72"/>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440"/>
        </w:tabs>
        <w:ind w:left="1440" w:hanging="108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1800"/>
        </w:tabs>
        <w:ind w:left="1800" w:hanging="1440"/>
      </w:pPr>
      <w:rPr>
        <w:rFonts w:hint="default"/>
      </w:rPr>
    </w:lvl>
  </w:abstractNum>
  <w:abstractNum w:abstractNumId="2" w15:restartNumberingAfterBreak="0">
    <w:nsid w:val="5B364FBB"/>
    <w:multiLevelType w:val="singleLevel"/>
    <w:tmpl w:val="5B364FB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64F37F57"/>
    <w:multiLevelType w:val="multilevel"/>
    <w:tmpl w:val="64F37F57"/>
    <w:lvl w:ilvl="0">
      <w:start w:val="5"/>
      <w:numFmt w:val="decimal"/>
      <w:lvlText w:val="%1."/>
      <w:lvlJc w:val="left"/>
      <w:pPr>
        <w:ind w:left="540" w:hanging="54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170B3"/>
    <w:rsid w:val="000233CB"/>
    <w:rsid w:val="00046B75"/>
    <w:rsid w:val="00055578"/>
    <w:rsid w:val="00060D67"/>
    <w:rsid w:val="00074EE5"/>
    <w:rsid w:val="00081361"/>
    <w:rsid w:val="000910E1"/>
    <w:rsid w:val="000A1A5E"/>
    <w:rsid w:val="000E48C6"/>
    <w:rsid w:val="00106925"/>
    <w:rsid w:val="00111249"/>
    <w:rsid w:val="00111C58"/>
    <w:rsid w:val="00114BC6"/>
    <w:rsid w:val="0012263C"/>
    <w:rsid w:val="00127E03"/>
    <w:rsid w:val="0013401C"/>
    <w:rsid w:val="0014145E"/>
    <w:rsid w:val="00143A4B"/>
    <w:rsid w:val="001561F6"/>
    <w:rsid w:val="001668DC"/>
    <w:rsid w:val="001706ED"/>
    <w:rsid w:val="00187A26"/>
    <w:rsid w:val="00196504"/>
    <w:rsid w:val="001A3B77"/>
    <w:rsid w:val="001B7DFB"/>
    <w:rsid w:val="001C6D15"/>
    <w:rsid w:val="001E2ED6"/>
    <w:rsid w:val="002319A1"/>
    <w:rsid w:val="002665E5"/>
    <w:rsid w:val="00282E7A"/>
    <w:rsid w:val="00284D46"/>
    <w:rsid w:val="00297329"/>
    <w:rsid w:val="002A7476"/>
    <w:rsid w:val="002D694E"/>
    <w:rsid w:val="002E0F54"/>
    <w:rsid w:val="002E5EF6"/>
    <w:rsid w:val="002E60E2"/>
    <w:rsid w:val="002F4A2D"/>
    <w:rsid w:val="00305CA7"/>
    <w:rsid w:val="00310595"/>
    <w:rsid w:val="003150DD"/>
    <w:rsid w:val="00315A14"/>
    <w:rsid w:val="0033137C"/>
    <w:rsid w:val="003329E1"/>
    <w:rsid w:val="00333960"/>
    <w:rsid w:val="00335EF8"/>
    <w:rsid w:val="00346170"/>
    <w:rsid w:val="00374D27"/>
    <w:rsid w:val="00392613"/>
    <w:rsid w:val="003B6459"/>
    <w:rsid w:val="003C31D9"/>
    <w:rsid w:val="003E7C6B"/>
    <w:rsid w:val="00407796"/>
    <w:rsid w:val="00416978"/>
    <w:rsid w:val="00417439"/>
    <w:rsid w:val="00423589"/>
    <w:rsid w:val="004310A2"/>
    <w:rsid w:val="004677B0"/>
    <w:rsid w:val="004735A5"/>
    <w:rsid w:val="00476FF0"/>
    <w:rsid w:val="00491B94"/>
    <w:rsid w:val="004A50C1"/>
    <w:rsid w:val="004A51D7"/>
    <w:rsid w:val="004A5BB6"/>
    <w:rsid w:val="004E25A2"/>
    <w:rsid w:val="004E6E43"/>
    <w:rsid w:val="00504D6A"/>
    <w:rsid w:val="00507119"/>
    <w:rsid w:val="005137AF"/>
    <w:rsid w:val="00531E05"/>
    <w:rsid w:val="00533780"/>
    <w:rsid w:val="00541E1E"/>
    <w:rsid w:val="00552708"/>
    <w:rsid w:val="0055687C"/>
    <w:rsid w:val="00562322"/>
    <w:rsid w:val="0056349A"/>
    <w:rsid w:val="00564F1D"/>
    <w:rsid w:val="00571714"/>
    <w:rsid w:val="00574330"/>
    <w:rsid w:val="00574BF7"/>
    <w:rsid w:val="00576346"/>
    <w:rsid w:val="00580025"/>
    <w:rsid w:val="00596207"/>
    <w:rsid w:val="005C0AC4"/>
    <w:rsid w:val="005D0CCF"/>
    <w:rsid w:val="005D1FED"/>
    <w:rsid w:val="005F05CF"/>
    <w:rsid w:val="005F082D"/>
    <w:rsid w:val="00604CEB"/>
    <w:rsid w:val="006053C6"/>
    <w:rsid w:val="00627F2C"/>
    <w:rsid w:val="00637653"/>
    <w:rsid w:val="00645C30"/>
    <w:rsid w:val="0067524F"/>
    <w:rsid w:val="00696D79"/>
    <w:rsid w:val="006B3E4E"/>
    <w:rsid w:val="006C30F5"/>
    <w:rsid w:val="006C5042"/>
    <w:rsid w:val="006C5574"/>
    <w:rsid w:val="006D07AB"/>
    <w:rsid w:val="006D0CC1"/>
    <w:rsid w:val="006D3F18"/>
    <w:rsid w:val="006D41C6"/>
    <w:rsid w:val="006D480A"/>
    <w:rsid w:val="006E5A09"/>
    <w:rsid w:val="006F469C"/>
    <w:rsid w:val="006F6E8B"/>
    <w:rsid w:val="00711D8C"/>
    <w:rsid w:val="007151CD"/>
    <w:rsid w:val="0072112A"/>
    <w:rsid w:val="00721A05"/>
    <w:rsid w:val="00724EED"/>
    <w:rsid w:val="007427FE"/>
    <w:rsid w:val="00755AD5"/>
    <w:rsid w:val="007604CF"/>
    <w:rsid w:val="00776759"/>
    <w:rsid w:val="00782DE3"/>
    <w:rsid w:val="00783B2B"/>
    <w:rsid w:val="007D4805"/>
    <w:rsid w:val="007D7138"/>
    <w:rsid w:val="007E5DA9"/>
    <w:rsid w:val="00815BAF"/>
    <w:rsid w:val="00820334"/>
    <w:rsid w:val="00836006"/>
    <w:rsid w:val="00852E04"/>
    <w:rsid w:val="00857622"/>
    <w:rsid w:val="00862907"/>
    <w:rsid w:val="00866DC5"/>
    <w:rsid w:val="0088686C"/>
    <w:rsid w:val="00890B25"/>
    <w:rsid w:val="008A180C"/>
    <w:rsid w:val="008A3668"/>
    <w:rsid w:val="008B067C"/>
    <w:rsid w:val="008B16A6"/>
    <w:rsid w:val="008B6AB0"/>
    <w:rsid w:val="008E53CC"/>
    <w:rsid w:val="008F16A5"/>
    <w:rsid w:val="008F2C7C"/>
    <w:rsid w:val="008F79B2"/>
    <w:rsid w:val="0090470B"/>
    <w:rsid w:val="00913161"/>
    <w:rsid w:val="00914EEF"/>
    <w:rsid w:val="00942EB2"/>
    <w:rsid w:val="00946ED7"/>
    <w:rsid w:val="00955FE9"/>
    <w:rsid w:val="009602DC"/>
    <w:rsid w:val="009715EC"/>
    <w:rsid w:val="0098270E"/>
    <w:rsid w:val="0098696B"/>
    <w:rsid w:val="00994C50"/>
    <w:rsid w:val="009A35F0"/>
    <w:rsid w:val="009B0F50"/>
    <w:rsid w:val="009D2EC4"/>
    <w:rsid w:val="009E0DBE"/>
    <w:rsid w:val="009E2C79"/>
    <w:rsid w:val="009E4117"/>
    <w:rsid w:val="009F574B"/>
    <w:rsid w:val="00A25CBE"/>
    <w:rsid w:val="00A27D21"/>
    <w:rsid w:val="00A37F38"/>
    <w:rsid w:val="00A41264"/>
    <w:rsid w:val="00A538B4"/>
    <w:rsid w:val="00A83882"/>
    <w:rsid w:val="00A9370E"/>
    <w:rsid w:val="00AA0CCF"/>
    <w:rsid w:val="00AB466B"/>
    <w:rsid w:val="00AC274D"/>
    <w:rsid w:val="00AE4A85"/>
    <w:rsid w:val="00B01F88"/>
    <w:rsid w:val="00B1580E"/>
    <w:rsid w:val="00B25BA2"/>
    <w:rsid w:val="00B41EC5"/>
    <w:rsid w:val="00B42511"/>
    <w:rsid w:val="00B4260A"/>
    <w:rsid w:val="00B522DA"/>
    <w:rsid w:val="00B53F32"/>
    <w:rsid w:val="00B63313"/>
    <w:rsid w:val="00B67BC5"/>
    <w:rsid w:val="00B714D5"/>
    <w:rsid w:val="00B739FA"/>
    <w:rsid w:val="00B761B0"/>
    <w:rsid w:val="00B86F01"/>
    <w:rsid w:val="00BA1B22"/>
    <w:rsid w:val="00BC7E3E"/>
    <w:rsid w:val="00BF2BD3"/>
    <w:rsid w:val="00C0528E"/>
    <w:rsid w:val="00C20B8A"/>
    <w:rsid w:val="00C219EF"/>
    <w:rsid w:val="00C2648E"/>
    <w:rsid w:val="00C27FA1"/>
    <w:rsid w:val="00C30F30"/>
    <w:rsid w:val="00C34079"/>
    <w:rsid w:val="00C34F03"/>
    <w:rsid w:val="00C530CE"/>
    <w:rsid w:val="00C5566D"/>
    <w:rsid w:val="00C86461"/>
    <w:rsid w:val="00C92D8F"/>
    <w:rsid w:val="00CB6061"/>
    <w:rsid w:val="00CC3616"/>
    <w:rsid w:val="00CC5719"/>
    <w:rsid w:val="00CD72CF"/>
    <w:rsid w:val="00CF0BC5"/>
    <w:rsid w:val="00D06CAC"/>
    <w:rsid w:val="00D17039"/>
    <w:rsid w:val="00D325F6"/>
    <w:rsid w:val="00D502BA"/>
    <w:rsid w:val="00D54854"/>
    <w:rsid w:val="00D60F1B"/>
    <w:rsid w:val="00D73D6C"/>
    <w:rsid w:val="00D817BF"/>
    <w:rsid w:val="00DA3B9A"/>
    <w:rsid w:val="00DB590B"/>
    <w:rsid w:val="00DC3FF5"/>
    <w:rsid w:val="00DE5297"/>
    <w:rsid w:val="00DF04D6"/>
    <w:rsid w:val="00DF1538"/>
    <w:rsid w:val="00E00468"/>
    <w:rsid w:val="00E10BC1"/>
    <w:rsid w:val="00E24C1F"/>
    <w:rsid w:val="00E438D1"/>
    <w:rsid w:val="00E469BC"/>
    <w:rsid w:val="00E54FC0"/>
    <w:rsid w:val="00E754B7"/>
    <w:rsid w:val="00E75827"/>
    <w:rsid w:val="00E76EC5"/>
    <w:rsid w:val="00E820E3"/>
    <w:rsid w:val="00E85ABC"/>
    <w:rsid w:val="00EA2298"/>
    <w:rsid w:val="00EB3DC1"/>
    <w:rsid w:val="00EB72DE"/>
    <w:rsid w:val="00ED5D48"/>
    <w:rsid w:val="00ED7F6B"/>
    <w:rsid w:val="00F0243F"/>
    <w:rsid w:val="00F13DDE"/>
    <w:rsid w:val="00F37CD3"/>
    <w:rsid w:val="00F44869"/>
    <w:rsid w:val="00F50775"/>
    <w:rsid w:val="00F51608"/>
    <w:rsid w:val="00F57195"/>
    <w:rsid w:val="00F76749"/>
    <w:rsid w:val="00F92A1F"/>
    <w:rsid w:val="00FA0866"/>
    <w:rsid w:val="00FA14CC"/>
    <w:rsid w:val="00FA4BB4"/>
    <w:rsid w:val="00FB6790"/>
    <w:rsid w:val="00FC73D6"/>
    <w:rsid w:val="00FE1CFA"/>
    <w:rsid w:val="00FF36F9"/>
    <w:rsid w:val="00FF66E3"/>
    <w:rsid w:val="058101AC"/>
    <w:rsid w:val="10864A80"/>
    <w:rsid w:val="7BA65E2B"/>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CA21"/>
  <w15:docId w15:val="{C6594BEB-888D-4065-8DEB-3174DF9E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zh-TW"/>
    </w:rPr>
  </w:style>
  <w:style w:type="paragraph" w:styleId="Balk1">
    <w:name w:val="heading 1"/>
    <w:basedOn w:val="Normal"/>
    <w:next w:val="Normal"/>
    <w:link w:val="Balk1Char"/>
    <w:uiPriority w:val="9"/>
    <w:qFormat/>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Balk2">
    <w:name w:val="heading 2"/>
    <w:basedOn w:val="Normal"/>
    <w:next w:val="Normal"/>
    <w:link w:val="Balk2Char"/>
    <w:uiPriority w:val="9"/>
    <w:semiHidden/>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Balk4">
    <w:name w:val="heading 4"/>
    <w:basedOn w:val="Normal"/>
    <w:next w:val="Normal"/>
    <w:link w:val="Balk4Char"/>
    <w:uiPriority w:val="9"/>
    <w:semiHidden/>
    <w:unhideWhenUsed/>
    <w:qFormat/>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Balk5">
    <w:name w:val="heading 5"/>
    <w:basedOn w:val="Normal"/>
    <w:next w:val="Normal"/>
    <w:link w:val="Balk5Char"/>
    <w:uiPriority w:val="9"/>
    <w:semiHidden/>
    <w:unhideWhenUsed/>
    <w:qFormat/>
    <w:pPr>
      <w:keepNext/>
      <w:keepLines/>
      <w:spacing w:before="40" w:after="0"/>
      <w:outlineLvl w:val="4"/>
    </w:pPr>
    <w:rPr>
      <w:rFonts w:asciiTheme="majorHAnsi" w:eastAsiaTheme="majorEastAsia" w:hAnsiTheme="majorHAnsi" w:cstheme="majorBidi"/>
      <w:caps/>
      <w:color w:val="2E74B5" w:themeColor="accent1" w:themeShade="BF"/>
    </w:rPr>
  </w:style>
  <w:style w:type="paragraph" w:styleId="Balk6">
    <w:name w:val="heading 6"/>
    <w:basedOn w:val="Normal"/>
    <w:next w:val="Normal"/>
    <w:link w:val="Balk6Char"/>
    <w:uiPriority w:val="9"/>
    <w:semiHidden/>
    <w:unhideWhenUsed/>
    <w:qFormat/>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Balk7">
    <w:name w:val="heading 7"/>
    <w:basedOn w:val="Normal"/>
    <w:next w:val="Normal"/>
    <w:link w:val="Balk7Char"/>
    <w:uiPriority w:val="9"/>
    <w:semiHidden/>
    <w:unhideWhenUsed/>
    <w:qFormat/>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Balk8">
    <w:name w:val="heading 8"/>
    <w:basedOn w:val="Normal"/>
    <w:next w:val="Normal"/>
    <w:link w:val="Balk8Char"/>
    <w:uiPriority w:val="9"/>
    <w:semiHidden/>
    <w:unhideWhenUsed/>
    <w:qFormat/>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Balk9">
    <w:name w:val="heading 9"/>
    <w:basedOn w:val="Normal"/>
    <w:next w:val="Normal"/>
    <w:link w:val="Balk9Char"/>
    <w:uiPriority w:val="9"/>
    <w:semiHidden/>
    <w:unhideWhenUsed/>
    <w:qFormat/>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GvdeMetniGirintisi">
    <w:name w:val="Body Text Indent"/>
    <w:basedOn w:val="Normal"/>
    <w:link w:val="GvdeMetniGirintisiChar"/>
    <w:semiHidden/>
    <w:pPr>
      <w:spacing w:after="0" w:line="240" w:lineRule="auto"/>
      <w:ind w:left="360"/>
    </w:pPr>
    <w:rPr>
      <w:rFonts w:ascii="Times New Roman" w:eastAsia="Times New Roman" w:hAnsi="Times New Roman" w:cs="Times New Roman"/>
      <w:sz w:val="20"/>
      <w:szCs w:val="20"/>
      <w:lang w:eastAsia="tr-TR"/>
    </w:rPr>
  </w:style>
  <w:style w:type="paragraph" w:styleId="ResimYazs">
    <w:name w:val="caption"/>
    <w:basedOn w:val="Normal"/>
    <w:next w:val="Normal"/>
    <w:uiPriority w:val="35"/>
    <w:semiHidden/>
    <w:unhideWhenUsed/>
    <w:qFormat/>
    <w:pPr>
      <w:spacing w:line="240" w:lineRule="auto"/>
    </w:pPr>
    <w:rPr>
      <w:b/>
      <w:bCs/>
      <w:smallCaps/>
      <w:color w:val="44546A" w:themeColor="text2"/>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Tarih">
    <w:name w:val="Date"/>
    <w:basedOn w:val="Normal"/>
    <w:next w:val="Normal"/>
    <w:link w:val="TarihChar"/>
    <w:uiPriority w:val="99"/>
    <w:semiHidden/>
    <w:unhideWhenUsed/>
    <w:qFormat/>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ltyaz">
    <w:name w:val="Subtitle"/>
    <w:basedOn w:val="Normal"/>
    <w:next w:val="Normal"/>
    <w:link w:val="AltyazChar"/>
    <w:uiPriority w:val="11"/>
    <w:qFormat/>
    <w:pPr>
      <w:spacing w:after="240" w:line="240" w:lineRule="auto"/>
    </w:pPr>
    <w:rPr>
      <w:rFonts w:asciiTheme="majorHAnsi" w:eastAsiaTheme="majorEastAsia" w:hAnsiTheme="majorHAnsi" w:cstheme="majorBidi"/>
      <w:color w:val="5B9BD5" w:themeColor="accent1"/>
      <w:sz w:val="28"/>
      <w:szCs w:val="28"/>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qFormat/>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character" w:customStyle="1" w:styleId="GvdeMetniGirintisiChar">
    <w:name w:val="Gövde Metni Girintisi Char"/>
    <w:basedOn w:val="VarsaylanParagrafYazTipi"/>
    <w:link w:val="GvdeMetniGirintisi"/>
    <w:semiHidden/>
    <w:rPr>
      <w:rFonts w:ascii="Times New Roman" w:eastAsia="Times New Roman" w:hAnsi="Times New Roman" w:cs="Times New Roman"/>
      <w:sz w:val="20"/>
      <w:szCs w:val="20"/>
      <w:lang w:eastAsia="tr-TR"/>
    </w:rPr>
  </w:style>
  <w:style w:type="character" w:customStyle="1" w:styleId="Gvdemetni2">
    <w:name w:val="Gövde metni (2)_"/>
    <w:link w:val="Gvdemetni20"/>
    <w:uiPriority w:val="99"/>
    <w:locked/>
    <w:rPr>
      <w:rFonts w:ascii="Calibri" w:hAnsi="Calibri" w:cs="Calibri"/>
      <w:sz w:val="38"/>
      <w:szCs w:val="38"/>
      <w:shd w:val="clear" w:color="auto" w:fill="FFFFFF"/>
    </w:rPr>
  </w:style>
  <w:style w:type="paragraph" w:customStyle="1" w:styleId="Gvdemetni20">
    <w:name w:val="Gövde metni (2)"/>
    <w:basedOn w:val="Normal"/>
    <w:link w:val="Gvdemetni2"/>
    <w:uiPriority w:val="99"/>
    <w:qFormat/>
    <w:pPr>
      <w:shd w:val="clear" w:color="auto" w:fill="FFFFFF"/>
      <w:spacing w:before="2340" w:after="1320" w:line="240" w:lineRule="atLeast"/>
      <w:jc w:val="center"/>
    </w:pPr>
    <w:rPr>
      <w:rFonts w:ascii="Calibri" w:hAnsi="Calibri" w:cs="Calibri"/>
      <w:sz w:val="38"/>
      <w:szCs w:val="38"/>
    </w:rPr>
  </w:style>
  <w:style w:type="character" w:customStyle="1" w:styleId="Gvdemetni">
    <w:name w:val="Gövde metni_"/>
    <w:link w:val="Gvdemetni1"/>
    <w:qFormat/>
    <w:locked/>
    <w:rPr>
      <w:rFonts w:ascii="Calibri" w:hAnsi="Calibri" w:cs="Calibri"/>
      <w:shd w:val="clear" w:color="auto" w:fill="FFFFFF"/>
    </w:rPr>
  </w:style>
  <w:style w:type="paragraph" w:customStyle="1" w:styleId="Gvdemetni1">
    <w:name w:val="Gövde metni1"/>
    <w:basedOn w:val="Normal"/>
    <w:link w:val="Gvdemetni"/>
    <w:pPr>
      <w:shd w:val="clear" w:color="auto" w:fill="FFFFFF"/>
      <w:spacing w:before="2400" w:after="1080" w:line="240" w:lineRule="atLeast"/>
      <w:ind w:hanging="1340"/>
      <w:jc w:val="center"/>
    </w:pPr>
    <w:rPr>
      <w:rFonts w:ascii="Calibri" w:hAnsi="Calibri" w:cs="Calibri"/>
    </w:rPr>
  </w:style>
  <w:style w:type="character" w:customStyle="1" w:styleId="AklamaMetniChar">
    <w:name w:val="Açıklama Metni Char"/>
    <w:basedOn w:val="VarsaylanParagrafYazTipi"/>
    <w:link w:val="AklamaMetni"/>
    <w:uiPriority w:val="99"/>
    <w:semiHidden/>
    <w:rPr>
      <w:sz w:val="20"/>
      <w:szCs w:val="20"/>
    </w:rPr>
  </w:style>
  <w:style w:type="character" w:customStyle="1" w:styleId="AklamaKonusuChar">
    <w:name w:val="Açıklama Konusu Char"/>
    <w:basedOn w:val="AklamaMetniChar"/>
    <w:link w:val="AklamaKonusu"/>
    <w:uiPriority w:val="99"/>
    <w:semiHidden/>
    <w:qFormat/>
    <w:rPr>
      <w:b/>
      <w:bCs/>
      <w:sz w:val="20"/>
      <w:szCs w:val="20"/>
    </w:rPr>
  </w:style>
  <w:style w:type="character" w:customStyle="1" w:styleId="TarihChar">
    <w:name w:val="Tarih Char"/>
    <w:basedOn w:val="VarsaylanParagrafYazTipi"/>
    <w:link w:val="Tarih"/>
    <w:uiPriority w:val="99"/>
    <w:semiHidden/>
    <w:qFormat/>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1F4E79" w:themeColor="accent1" w:themeShade="80"/>
      <w:sz w:val="36"/>
      <w:szCs w:val="36"/>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qFormat/>
    <w:rPr>
      <w:rFonts w:asciiTheme="majorHAnsi" w:eastAsiaTheme="majorEastAsia" w:hAnsiTheme="majorHAnsi" w:cstheme="majorBidi"/>
      <w:color w:val="2E74B5" w:themeColor="accent1" w:themeShade="BF"/>
      <w:sz w:val="28"/>
      <w:szCs w:val="28"/>
    </w:rPr>
  </w:style>
  <w:style w:type="character" w:customStyle="1" w:styleId="Balk4Char">
    <w:name w:val="Başlık 4 Char"/>
    <w:basedOn w:val="VarsaylanParagrafYazTipi"/>
    <w:link w:val="Balk4"/>
    <w:uiPriority w:val="9"/>
    <w:semiHidden/>
    <w:qFormat/>
    <w:rPr>
      <w:rFonts w:asciiTheme="majorHAnsi" w:eastAsiaTheme="majorEastAsia" w:hAnsiTheme="majorHAnsi" w:cstheme="majorBidi"/>
      <w:color w:val="2E74B5" w:themeColor="accent1" w:themeShade="BF"/>
      <w:sz w:val="24"/>
      <w:szCs w:val="24"/>
    </w:rPr>
  </w:style>
  <w:style w:type="character" w:customStyle="1" w:styleId="Balk5Char">
    <w:name w:val="Başlık 5 Char"/>
    <w:basedOn w:val="VarsaylanParagrafYazTipi"/>
    <w:link w:val="Balk5"/>
    <w:uiPriority w:val="9"/>
    <w:semiHidden/>
    <w:qFormat/>
    <w:rPr>
      <w:rFonts w:asciiTheme="majorHAnsi" w:eastAsiaTheme="majorEastAsia" w:hAnsiTheme="majorHAnsi" w:cstheme="majorBidi"/>
      <w:caps/>
      <w:color w:val="2E74B5" w:themeColor="accent1" w:themeShade="BF"/>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i/>
      <w:iCs/>
      <w:caps/>
      <w:color w:val="1F4E79" w:themeColor="accent1" w:themeShade="80"/>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b/>
      <w:bCs/>
      <w:color w:val="1F4E79" w:themeColor="accent1" w:themeShade="80"/>
    </w:rPr>
  </w:style>
  <w:style w:type="character" w:customStyle="1" w:styleId="Balk8Char">
    <w:name w:val="Başlık 8 Char"/>
    <w:basedOn w:val="VarsaylanParagrafYazTipi"/>
    <w:link w:val="Balk8"/>
    <w:uiPriority w:val="9"/>
    <w:semiHidden/>
    <w:qFormat/>
    <w:rPr>
      <w:rFonts w:asciiTheme="majorHAnsi" w:eastAsiaTheme="majorEastAsia" w:hAnsiTheme="majorHAnsi" w:cstheme="majorBidi"/>
      <w:b/>
      <w:bCs/>
      <w:i/>
      <w:iCs/>
      <w:color w:val="1F4E79" w:themeColor="accent1" w:themeShade="80"/>
    </w:rPr>
  </w:style>
  <w:style w:type="character" w:customStyle="1" w:styleId="Balk9Char">
    <w:name w:val="Başlık 9 Char"/>
    <w:basedOn w:val="VarsaylanParagrafYazTipi"/>
    <w:link w:val="Balk9"/>
    <w:uiPriority w:val="9"/>
    <w:semiHidden/>
    <w:qFormat/>
    <w:rPr>
      <w:rFonts w:asciiTheme="majorHAnsi" w:eastAsiaTheme="majorEastAsia" w:hAnsiTheme="majorHAnsi" w:cstheme="majorBidi"/>
      <w:i/>
      <w:iCs/>
      <w:color w:val="1F4E79" w:themeColor="accent1" w:themeShade="80"/>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caps/>
      <w:color w:val="44546A" w:themeColor="text2"/>
      <w:spacing w:val="-15"/>
      <w:sz w:val="72"/>
      <w:szCs w:val="72"/>
    </w:rPr>
  </w:style>
  <w:style w:type="character" w:customStyle="1" w:styleId="AltyazChar">
    <w:name w:val="Altyazı Char"/>
    <w:basedOn w:val="VarsaylanParagrafYazTipi"/>
    <w:link w:val="Altyaz"/>
    <w:uiPriority w:val="11"/>
    <w:qFormat/>
    <w:rPr>
      <w:rFonts w:asciiTheme="majorHAnsi" w:eastAsiaTheme="majorEastAsia" w:hAnsiTheme="majorHAnsi" w:cstheme="majorBidi"/>
      <w:color w:val="5B9BD5" w:themeColor="accent1"/>
      <w:sz w:val="28"/>
      <w:szCs w:val="28"/>
    </w:rPr>
  </w:style>
  <w:style w:type="paragraph" w:styleId="AralkYok">
    <w:name w:val="No Spacing"/>
    <w:uiPriority w:val="1"/>
    <w:qFormat/>
    <w:rPr>
      <w:sz w:val="22"/>
      <w:szCs w:val="22"/>
      <w:lang w:eastAsia="zh-TW"/>
    </w:rPr>
  </w:style>
  <w:style w:type="paragraph" w:styleId="Alnt">
    <w:name w:val="Quote"/>
    <w:basedOn w:val="Normal"/>
    <w:next w:val="Normal"/>
    <w:link w:val="AlntChar"/>
    <w:uiPriority w:val="29"/>
    <w:qFormat/>
    <w:pPr>
      <w:spacing w:before="120" w:after="120"/>
      <w:ind w:left="720"/>
    </w:pPr>
    <w:rPr>
      <w:color w:val="44546A" w:themeColor="text2"/>
      <w:sz w:val="24"/>
      <w:szCs w:val="24"/>
    </w:rPr>
  </w:style>
  <w:style w:type="character" w:customStyle="1" w:styleId="AlntChar">
    <w:name w:val="Alıntı Char"/>
    <w:basedOn w:val="VarsaylanParagrafYazTipi"/>
    <w:link w:val="Alnt"/>
    <w:uiPriority w:val="29"/>
    <w:qFormat/>
    <w:rPr>
      <w:color w:val="44546A" w:themeColor="text2"/>
      <w:sz w:val="24"/>
      <w:szCs w:val="24"/>
    </w:rPr>
  </w:style>
  <w:style w:type="paragraph" w:styleId="GlAlnt">
    <w:name w:val="Intense Quote"/>
    <w:basedOn w:val="Normal"/>
    <w:next w:val="Normal"/>
    <w:link w:val="GlAlntChar"/>
    <w:uiPriority w:val="30"/>
    <w:qFormat/>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GlAlntChar">
    <w:name w:val="Güçlü Alıntı Char"/>
    <w:basedOn w:val="VarsaylanParagrafYazTipi"/>
    <w:link w:val="GlAlnt"/>
    <w:uiPriority w:val="30"/>
    <w:rPr>
      <w:rFonts w:asciiTheme="majorHAnsi" w:eastAsiaTheme="majorEastAsia" w:hAnsiTheme="majorHAnsi" w:cstheme="majorBidi"/>
      <w:color w:val="44546A" w:themeColor="text2"/>
      <w:spacing w:val="-6"/>
      <w:sz w:val="32"/>
      <w:szCs w:val="32"/>
    </w:rPr>
  </w:style>
  <w:style w:type="character" w:customStyle="1" w:styleId="HafifVurgulama1">
    <w:name w:val="Hafif Vurgulama1"/>
    <w:basedOn w:val="VarsaylanParagrafYazTipi"/>
    <w:uiPriority w:val="19"/>
    <w:qFormat/>
    <w:rPr>
      <w:i/>
      <w:iCs/>
      <w:color w:val="595959" w:themeColor="text1" w:themeTint="A6"/>
    </w:rPr>
  </w:style>
  <w:style w:type="character" w:customStyle="1" w:styleId="GlVurgulama1">
    <w:name w:val="Güçlü Vurgulama1"/>
    <w:basedOn w:val="VarsaylanParagrafYazTipi"/>
    <w:uiPriority w:val="21"/>
    <w:qFormat/>
    <w:rPr>
      <w:b/>
      <w:bCs/>
      <w:i/>
      <w:iCs/>
    </w:rPr>
  </w:style>
  <w:style w:type="character" w:customStyle="1" w:styleId="HafifBavuru1">
    <w:name w:val="Hafif Başvuru1"/>
    <w:basedOn w:val="VarsaylanParagrafYazTipi"/>
    <w:uiPriority w:val="31"/>
    <w:qFormat/>
    <w:rPr>
      <w:smallCaps/>
      <w:color w:val="595959" w:themeColor="text1" w:themeTint="A6"/>
      <w:u w:val="none" w:color="7F7F7F" w:themeColor="text1" w:themeTint="80"/>
    </w:rPr>
  </w:style>
  <w:style w:type="character" w:customStyle="1" w:styleId="GlBavuru1">
    <w:name w:val="Güçlü Başvuru1"/>
    <w:basedOn w:val="VarsaylanParagrafYazTipi"/>
    <w:uiPriority w:val="32"/>
    <w:qFormat/>
    <w:rPr>
      <w:b/>
      <w:bCs/>
      <w:smallCaps/>
      <w:color w:val="44546A" w:themeColor="text2"/>
      <w:u w:val="single"/>
    </w:rPr>
  </w:style>
  <w:style w:type="character" w:customStyle="1" w:styleId="KitapBal1">
    <w:name w:val="Kitap Başlığı1"/>
    <w:basedOn w:val="VarsaylanParagrafYazTipi"/>
    <w:uiPriority w:val="33"/>
    <w:qFormat/>
    <w:rPr>
      <w:b/>
      <w:bCs/>
      <w:smallCaps/>
      <w:spacing w:val="10"/>
    </w:rPr>
  </w:style>
  <w:style w:type="paragraph" w:customStyle="1" w:styleId="TBal1">
    <w:name w:val="İÇT Başlığı1"/>
    <w:basedOn w:val="Balk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t&#305;nalma@pirireis.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EC861-5E30-4DDE-9B49-9691AF76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3222</Words>
  <Characters>18369</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Piri Reis University</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SOYLU</dc:creator>
  <cp:lastModifiedBy>Merih AVCI</cp:lastModifiedBy>
  <cp:revision>34</cp:revision>
  <cp:lastPrinted>2019-09-30T08:29:00Z</cp:lastPrinted>
  <dcterms:created xsi:type="dcterms:W3CDTF">2019-11-21T14:34:00Z</dcterms:created>
  <dcterms:modified xsi:type="dcterms:W3CDTF">2024-07-29T13:11:00Z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65F5F3359E0A4A2394B07201741B63FD</vt:lpwstr>
  </property>
</Properties>
</file>